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53D39" w:rsidRPr="005D2A56" w:rsidRDefault="00BE28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heme="majorHAnsi" w:hAnsiTheme="majorHAnsi" w:cstheme="majorHAnsi"/>
          <w:sz w:val="24"/>
          <w:szCs w:val="24"/>
          <w:u w:val="single"/>
        </w:rPr>
      </w:pPr>
      <w:r>
        <w:rPr>
          <w:rFonts w:asciiTheme="majorHAnsi" w:hAnsiTheme="majorHAnsi" w:cstheme="majorHAnsi"/>
          <w:b/>
          <w:sz w:val="24"/>
          <w:szCs w:val="24"/>
          <w:u w:val="single"/>
        </w:rPr>
        <w:t>TERMO DE REFERENCIA</w:t>
      </w:r>
    </w:p>
    <w:p w:rsidR="00BE28C3" w:rsidRDefault="00BE28C3" w:rsidP="00BE28C3">
      <w:pPr>
        <w:spacing w:line="360" w:lineRule="auto"/>
        <w:rPr>
          <w:rFonts w:asciiTheme="majorHAnsi" w:hAnsiTheme="majorHAnsi" w:cstheme="majorHAnsi"/>
          <w:b/>
          <w:sz w:val="24"/>
          <w:szCs w:val="24"/>
          <w:u w:val="single"/>
        </w:rPr>
      </w:pPr>
    </w:p>
    <w:p w:rsidR="00BE28C3" w:rsidRPr="005D2A56" w:rsidRDefault="00BE28C3" w:rsidP="00BE28C3">
      <w:pPr>
        <w:spacing w:line="360" w:lineRule="auto"/>
        <w:rPr>
          <w:rFonts w:asciiTheme="majorHAnsi" w:hAnsiTheme="majorHAnsi" w:cstheme="majorHAnsi"/>
          <w:b/>
          <w:sz w:val="24"/>
          <w:szCs w:val="24"/>
          <w:u w:val="single"/>
        </w:rPr>
      </w:pPr>
      <w:r w:rsidRPr="005D2A56">
        <w:rPr>
          <w:rFonts w:asciiTheme="majorHAnsi" w:hAnsiTheme="majorHAnsi" w:cstheme="majorHAnsi"/>
          <w:b/>
          <w:sz w:val="24"/>
          <w:szCs w:val="24"/>
          <w:u w:val="single"/>
        </w:rPr>
        <w:t>1. OBJETO</w:t>
      </w:r>
    </w:p>
    <w:p w:rsidR="00BE28C3" w:rsidRPr="005D2A56" w:rsidRDefault="00BE28C3" w:rsidP="00BE28C3">
      <w:pPr>
        <w:pStyle w:val="PargrafodaLista"/>
        <w:tabs>
          <w:tab w:val="left" w:pos="462"/>
        </w:tabs>
        <w:ind w:left="-1"/>
        <w:rPr>
          <w:rFonts w:asciiTheme="majorHAnsi" w:hAnsiTheme="majorHAnsi" w:cstheme="majorHAnsi"/>
          <w:sz w:val="24"/>
          <w:szCs w:val="24"/>
          <w:u w:val="single"/>
        </w:rPr>
      </w:pPr>
    </w:p>
    <w:p w:rsidR="00C57321" w:rsidRDefault="00BE28C3" w:rsidP="00C57321">
      <w:pPr>
        <w:pStyle w:val="PargrafodaLista"/>
        <w:tabs>
          <w:tab w:val="left" w:pos="756"/>
        </w:tabs>
        <w:spacing w:line="360" w:lineRule="auto"/>
        <w:ind w:left="57" w:right="110"/>
        <w:rPr>
          <w:rFonts w:asciiTheme="majorHAnsi" w:hAnsiTheme="majorHAnsi" w:cstheme="majorHAnsi"/>
          <w:sz w:val="24"/>
          <w:szCs w:val="24"/>
        </w:rPr>
      </w:pPr>
      <w:r>
        <w:rPr>
          <w:rFonts w:asciiTheme="majorHAnsi" w:hAnsiTheme="majorHAnsi" w:cstheme="majorHAnsi"/>
          <w:sz w:val="24"/>
          <w:szCs w:val="24"/>
        </w:rPr>
        <w:t xml:space="preserve">     </w:t>
      </w:r>
      <w:r w:rsidR="00C57321">
        <w:rPr>
          <w:rFonts w:asciiTheme="majorHAnsi" w:hAnsiTheme="majorHAnsi" w:cstheme="majorHAnsi"/>
          <w:sz w:val="24"/>
          <w:szCs w:val="24"/>
        </w:rPr>
        <w:t xml:space="preserve">     </w:t>
      </w:r>
      <w:r w:rsidR="00C57321" w:rsidRPr="007D1091">
        <w:rPr>
          <w:rFonts w:asciiTheme="majorHAnsi" w:hAnsiTheme="majorHAnsi" w:cstheme="majorHAnsi"/>
          <w:sz w:val="24"/>
          <w:szCs w:val="24"/>
        </w:rPr>
        <w:t xml:space="preserve">Equipamentos de Proteção Individual </w:t>
      </w:r>
      <w:r w:rsidR="00C57321">
        <w:rPr>
          <w:rFonts w:asciiTheme="majorHAnsi" w:hAnsiTheme="majorHAnsi" w:cstheme="majorHAnsi"/>
          <w:sz w:val="24"/>
          <w:szCs w:val="24"/>
        </w:rPr>
        <w:t>–</w:t>
      </w:r>
      <w:r w:rsidR="00C57321" w:rsidRPr="007D1091">
        <w:rPr>
          <w:rFonts w:asciiTheme="majorHAnsi" w:hAnsiTheme="majorHAnsi" w:cstheme="majorHAnsi"/>
          <w:sz w:val="24"/>
          <w:szCs w:val="24"/>
        </w:rPr>
        <w:t xml:space="preserve"> EPIs</w:t>
      </w:r>
      <w:r w:rsidR="006D7FF2">
        <w:rPr>
          <w:rFonts w:asciiTheme="majorHAnsi" w:hAnsiTheme="majorHAnsi" w:cstheme="majorHAnsi"/>
          <w:sz w:val="24"/>
          <w:szCs w:val="24"/>
        </w:rPr>
        <w:t>.</w:t>
      </w:r>
    </w:p>
    <w:p w:rsidR="00053D39" w:rsidRPr="00BE28C3" w:rsidRDefault="00053D3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heme="majorHAnsi" w:hAnsiTheme="majorHAnsi" w:cstheme="majorHAnsi"/>
          <w:sz w:val="24"/>
          <w:szCs w:val="24"/>
          <w:lang w:val="pt-PT"/>
        </w:rPr>
      </w:pPr>
    </w:p>
    <w:p w:rsidR="00053D39" w:rsidRPr="005D2A56" w:rsidRDefault="00BE28C3">
      <w:pPr>
        <w:spacing w:line="360" w:lineRule="auto"/>
        <w:rPr>
          <w:rFonts w:asciiTheme="majorHAnsi" w:hAnsiTheme="majorHAnsi" w:cstheme="majorHAnsi"/>
          <w:b/>
          <w:sz w:val="24"/>
          <w:szCs w:val="24"/>
          <w:u w:val="single"/>
        </w:rPr>
      </w:pPr>
      <w:r>
        <w:rPr>
          <w:rFonts w:asciiTheme="majorHAnsi" w:hAnsiTheme="majorHAnsi" w:cstheme="majorHAnsi"/>
          <w:b/>
          <w:sz w:val="24"/>
          <w:szCs w:val="24"/>
          <w:u w:val="single"/>
        </w:rPr>
        <w:t>2</w:t>
      </w:r>
      <w:r w:rsidR="005A401C" w:rsidRPr="005D2A56">
        <w:rPr>
          <w:rFonts w:asciiTheme="majorHAnsi" w:hAnsiTheme="majorHAnsi" w:cstheme="majorHAnsi"/>
          <w:b/>
          <w:sz w:val="24"/>
          <w:szCs w:val="24"/>
          <w:u w:val="single"/>
        </w:rPr>
        <w:t>. NECESSIDADE DA CONTRATAÇÃO:</w:t>
      </w:r>
    </w:p>
    <w:p w:rsidR="00C57321" w:rsidRDefault="00C57321" w:rsidP="00C57321">
      <w:pPr>
        <w:pStyle w:val="PargrafodaLista"/>
        <w:numPr>
          <w:ilvl w:val="1"/>
          <w:numId w:val="2"/>
        </w:numPr>
        <w:tabs>
          <w:tab w:val="left" w:pos="706"/>
        </w:tabs>
        <w:spacing w:line="360" w:lineRule="auto"/>
        <w:ind w:left="57" w:right="113"/>
        <w:rPr>
          <w:rFonts w:asciiTheme="majorHAnsi" w:eastAsia="Arial" w:hAnsiTheme="majorHAnsi" w:cstheme="majorHAnsi"/>
          <w:sz w:val="24"/>
          <w:szCs w:val="24"/>
          <w:lang w:val="pt-BR" w:eastAsia="zh-CN"/>
        </w:rPr>
      </w:pPr>
      <w:r w:rsidRPr="005E4022">
        <w:rPr>
          <w:rFonts w:asciiTheme="majorHAnsi" w:eastAsia="Arial" w:hAnsiTheme="majorHAnsi" w:cstheme="majorHAnsi"/>
          <w:sz w:val="24"/>
          <w:szCs w:val="24"/>
          <w:lang w:val="pt-BR" w:eastAsia="zh-CN"/>
        </w:rPr>
        <w:t xml:space="preserve">Considerando a expiração da Vigência da Ata de Registro de Preço, objeto do Pregão Eletrônico </w:t>
      </w:r>
      <w:r w:rsidR="006D7FF2">
        <w:rPr>
          <w:rFonts w:asciiTheme="majorHAnsi" w:eastAsia="Arial" w:hAnsiTheme="majorHAnsi" w:cstheme="majorHAnsi"/>
          <w:sz w:val="24"/>
          <w:szCs w:val="24"/>
          <w:lang w:val="pt-BR" w:eastAsia="zh-CN"/>
        </w:rPr>
        <w:t>10</w:t>
      </w:r>
      <w:r w:rsidRPr="005E4022">
        <w:rPr>
          <w:rFonts w:asciiTheme="majorHAnsi" w:eastAsia="Arial" w:hAnsiTheme="majorHAnsi" w:cstheme="majorHAnsi"/>
          <w:sz w:val="24"/>
          <w:szCs w:val="24"/>
          <w:lang w:val="pt-BR" w:eastAsia="zh-CN"/>
        </w:rPr>
        <w:t>/202</w:t>
      </w:r>
      <w:r w:rsidR="006D7FF2">
        <w:rPr>
          <w:rFonts w:asciiTheme="majorHAnsi" w:eastAsia="Arial" w:hAnsiTheme="majorHAnsi" w:cstheme="majorHAnsi"/>
          <w:sz w:val="24"/>
          <w:szCs w:val="24"/>
          <w:lang w:val="pt-BR" w:eastAsia="zh-CN"/>
        </w:rPr>
        <w:t>5</w:t>
      </w:r>
      <w:r w:rsidRPr="005E4022">
        <w:rPr>
          <w:rFonts w:asciiTheme="majorHAnsi" w:eastAsia="Arial" w:hAnsiTheme="majorHAnsi" w:cstheme="majorHAnsi"/>
          <w:sz w:val="24"/>
          <w:szCs w:val="24"/>
          <w:lang w:val="pt-BR" w:eastAsia="zh-CN"/>
        </w:rPr>
        <w:t>, que trata do fornecimento de Equipamentos de Proteção Individual para os servidores da Prefeitura Municipal de Santo Ângelo.</w:t>
      </w:r>
    </w:p>
    <w:p w:rsidR="00C57321" w:rsidRPr="005E4022" w:rsidRDefault="00C57321" w:rsidP="00C57321">
      <w:pPr>
        <w:pStyle w:val="PargrafodaLista"/>
        <w:numPr>
          <w:ilvl w:val="1"/>
          <w:numId w:val="2"/>
        </w:numPr>
        <w:tabs>
          <w:tab w:val="left" w:pos="706"/>
        </w:tabs>
        <w:spacing w:line="360" w:lineRule="auto"/>
        <w:ind w:left="57" w:right="113"/>
        <w:rPr>
          <w:rFonts w:asciiTheme="majorHAnsi" w:eastAsia="Arial" w:hAnsiTheme="majorHAnsi" w:cstheme="majorHAnsi"/>
          <w:sz w:val="24"/>
          <w:szCs w:val="24"/>
          <w:lang w:val="pt-BR" w:eastAsia="zh-CN"/>
        </w:rPr>
      </w:pPr>
      <w:r w:rsidRPr="005E4022">
        <w:rPr>
          <w:rFonts w:asciiTheme="majorHAnsi" w:eastAsia="Arial" w:hAnsiTheme="majorHAnsi" w:cstheme="majorHAnsi"/>
          <w:sz w:val="24"/>
          <w:szCs w:val="24"/>
          <w:lang w:val="pt-BR" w:eastAsia="zh-CN"/>
        </w:rPr>
        <w:t xml:space="preserve">  Os equipamentos de proteção individual e uniformes que serão adquiridos, serão destinados à proteção contra riscos capazes de ameaçar a segurança e a saúde do trabalhador. Assim, os equipamentos são de grande importância para preservar a integridade física dos servidores das Secretarias do Município de </w:t>
      </w:r>
      <w:r>
        <w:rPr>
          <w:rFonts w:asciiTheme="majorHAnsi" w:eastAsia="Arial" w:hAnsiTheme="majorHAnsi" w:cstheme="majorHAnsi"/>
          <w:sz w:val="24"/>
          <w:szCs w:val="24"/>
          <w:lang w:val="pt-BR" w:eastAsia="zh-CN"/>
        </w:rPr>
        <w:t>Santo Ângelo</w:t>
      </w:r>
      <w:r w:rsidRPr="005E4022">
        <w:rPr>
          <w:rFonts w:asciiTheme="majorHAnsi" w:eastAsia="Arial" w:hAnsiTheme="majorHAnsi" w:cstheme="majorHAnsi"/>
          <w:sz w:val="24"/>
          <w:szCs w:val="24"/>
          <w:lang w:val="pt-BR" w:eastAsia="zh-CN"/>
        </w:rPr>
        <w:t xml:space="preserve">. </w:t>
      </w:r>
      <w:r>
        <w:rPr>
          <w:rFonts w:asciiTheme="majorHAnsi" w:eastAsia="Arial" w:hAnsiTheme="majorHAnsi" w:cstheme="majorHAnsi"/>
          <w:sz w:val="24"/>
          <w:szCs w:val="24"/>
          <w:lang w:val="pt-BR" w:eastAsia="zh-CN"/>
        </w:rPr>
        <w:t xml:space="preserve">Conforme a </w:t>
      </w:r>
      <w:r>
        <w:rPr>
          <w:rFonts w:asciiTheme="majorHAnsi" w:eastAsia="Arial" w:hAnsiTheme="majorHAnsi" w:cstheme="majorHAnsi"/>
          <w:bCs/>
          <w:sz w:val="24"/>
          <w:szCs w:val="24"/>
          <w:lang w:val="pt-BR" w:eastAsia="zh-CN"/>
        </w:rPr>
        <w:t>Lei Nº 6.514, de 22 d</w:t>
      </w:r>
      <w:r w:rsidRPr="00797C6D">
        <w:rPr>
          <w:rFonts w:asciiTheme="majorHAnsi" w:eastAsia="Arial" w:hAnsiTheme="majorHAnsi" w:cstheme="majorHAnsi"/>
          <w:bCs/>
          <w:sz w:val="24"/>
          <w:szCs w:val="24"/>
          <w:lang w:val="pt-BR" w:eastAsia="zh-CN"/>
        </w:rPr>
        <w:t>e Dezembro De 1977</w:t>
      </w:r>
      <w:r w:rsidRPr="00797C6D">
        <w:rPr>
          <w:rFonts w:asciiTheme="majorHAnsi" w:eastAsia="Arial" w:hAnsiTheme="majorHAnsi" w:cstheme="majorHAnsi"/>
          <w:b/>
          <w:bCs/>
          <w:sz w:val="24"/>
          <w:szCs w:val="24"/>
          <w:lang w:val="pt-BR" w:eastAsia="zh-CN"/>
        </w:rPr>
        <w:t xml:space="preserve">, </w:t>
      </w:r>
      <w:proofErr w:type="spellStart"/>
      <w:r w:rsidRPr="00797C6D">
        <w:rPr>
          <w:rFonts w:asciiTheme="majorHAnsi" w:eastAsia="Arial" w:hAnsiTheme="majorHAnsi" w:cstheme="majorHAnsi"/>
          <w:bCs/>
          <w:sz w:val="24"/>
          <w:szCs w:val="24"/>
          <w:lang w:val="pt-BR" w:eastAsia="zh-CN"/>
        </w:rPr>
        <w:t>Art</w:t>
      </w:r>
      <w:proofErr w:type="spellEnd"/>
      <w:r w:rsidRPr="00797C6D">
        <w:rPr>
          <w:rFonts w:asciiTheme="majorHAnsi" w:eastAsia="Arial" w:hAnsiTheme="majorHAnsi" w:cstheme="majorHAnsi"/>
          <w:bCs/>
          <w:sz w:val="24"/>
          <w:szCs w:val="24"/>
          <w:lang w:val="pt-BR" w:eastAsia="zh-CN"/>
        </w:rPr>
        <w:t xml:space="preserve"> 166</w:t>
      </w:r>
      <w:r w:rsidRPr="005E4022">
        <w:rPr>
          <w:rFonts w:asciiTheme="majorHAnsi" w:eastAsia="Arial" w:hAnsiTheme="majorHAnsi" w:cstheme="majorHAnsi"/>
          <w:sz w:val="24"/>
          <w:szCs w:val="24"/>
          <w:lang w:val="pt-BR" w:eastAsia="zh-CN"/>
        </w:rPr>
        <w:t xml:space="preserve">, é obrigação do empregador, fornecer aos empregados, gratuitamente, EPI adequado ao risco, e em perfeito estado de conservação e funcionamento. O Município de </w:t>
      </w:r>
      <w:r>
        <w:rPr>
          <w:rFonts w:asciiTheme="majorHAnsi" w:eastAsia="Arial" w:hAnsiTheme="majorHAnsi" w:cstheme="majorHAnsi"/>
          <w:sz w:val="24"/>
          <w:szCs w:val="24"/>
          <w:lang w:val="pt-BR" w:eastAsia="zh-CN"/>
        </w:rPr>
        <w:t>Santo Ângelo</w:t>
      </w:r>
      <w:r w:rsidRPr="005E4022">
        <w:rPr>
          <w:rFonts w:asciiTheme="majorHAnsi" w:eastAsia="Arial" w:hAnsiTheme="majorHAnsi" w:cstheme="majorHAnsi"/>
          <w:sz w:val="24"/>
          <w:szCs w:val="24"/>
          <w:lang w:val="pt-BR" w:eastAsia="zh-CN"/>
        </w:rPr>
        <w:t xml:space="preserve"> tem por competência institucional a promoção e execução de licitações no âmbito do Município a competência de planejamento, coordenação e controle de procedimentos de compras centralizadas dos materiais de uso comum para atendimento às demandas de todos os órgãos da Administração Pública Municipal. Para o planejamento das compras centralizadas foram mapeados os materiais de uso comum entre os diversos Órgãos e Entidades da Administração Pública Municipal, para os quais se requer a coordenação e controle de compras visando o constante atendimento da administração. A contratação centralizada proporciona uma melhoria nos procedimentos técnicos e administrativos, além da redução do número de processos licitatórios, auferindo a administração redução de custos operacionais e eficiência gerencial. A realização de elevados números de processos licitatórios, utilizando-se de distintas modalidades de licitação demanda elevados custos operacionais, administrativos e financeiros, além de dificultar a uniformização dos procedimentos e a aplicação das melhores práticas. A unificação e centralização do procedimento de aquisição de materiais proporciona melhorias no planejamento da demanda física, orçamentária e financeira induzindo a um </w:t>
      </w:r>
      <w:r w:rsidRPr="005E4022">
        <w:rPr>
          <w:rFonts w:asciiTheme="majorHAnsi" w:eastAsia="Arial" w:hAnsiTheme="majorHAnsi" w:cstheme="majorHAnsi"/>
          <w:sz w:val="24"/>
          <w:szCs w:val="24"/>
          <w:lang w:val="pt-BR" w:eastAsia="zh-CN"/>
        </w:rPr>
        <w:lastRenderedPageBreak/>
        <w:t xml:space="preserve">suprimento eficaz, reduzindo a disparidade de preços na aquisição de produtos da mesma natureza, além da possibilidade de economia de escala, contemplando novas tecnologias. </w:t>
      </w:r>
    </w:p>
    <w:p w:rsidR="00053D39" w:rsidRPr="005D2A56" w:rsidRDefault="00053D39" w:rsidP="00C45E55">
      <w:pPr>
        <w:pStyle w:val="PargrafodaLista"/>
        <w:numPr>
          <w:ilvl w:val="1"/>
          <w:numId w:val="2"/>
        </w:numPr>
        <w:tabs>
          <w:tab w:val="left" w:pos="756"/>
        </w:tabs>
        <w:spacing w:line="360" w:lineRule="auto"/>
        <w:ind w:left="57" w:right="110"/>
        <w:rPr>
          <w:rFonts w:asciiTheme="majorHAnsi" w:hAnsiTheme="majorHAnsi" w:cstheme="majorHAnsi"/>
          <w:sz w:val="24"/>
          <w:szCs w:val="24"/>
        </w:rPr>
      </w:pPr>
    </w:p>
    <w:p w:rsidR="005B1855" w:rsidRPr="005D2A56" w:rsidRDefault="005B1855" w:rsidP="005B1855">
      <w:pPr>
        <w:spacing w:before="100"/>
        <w:ind w:left="3927"/>
        <w:jc w:val="both"/>
        <w:rPr>
          <w:rFonts w:asciiTheme="majorHAnsi" w:hAnsiTheme="majorHAnsi" w:cstheme="majorHAnsi"/>
          <w:w w:val="110"/>
          <w:sz w:val="24"/>
          <w:szCs w:val="24"/>
        </w:rPr>
      </w:pPr>
    </w:p>
    <w:p w:rsidR="005B1855" w:rsidRPr="005D2A56" w:rsidRDefault="00BE28C3" w:rsidP="005B1855">
      <w:pPr>
        <w:spacing w:line="360" w:lineRule="auto"/>
        <w:rPr>
          <w:rFonts w:asciiTheme="majorHAnsi" w:hAnsiTheme="majorHAnsi" w:cstheme="majorHAnsi"/>
          <w:b/>
          <w:sz w:val="24"/>
          <w:szCs w:val="24"/>
          <w:u w:val="single"/>
        </w:rPr>
      </w:pPr>
      <w:r>
        <w:rPr>
          <w:rFonts w:asciiTheme="majorHAnsi" w:hAnsiTheme="majorHAnsi" w:cstheme="majorHAnsi"/>
          <w:b/>
          <w:sz w:val="24"/>
          <w:szCs w:val="24"/>
          <w:u w:val="single"/>
        </w:rPr>
        <w:t>3.</w:t>
      </w:r>
      <w:r w:rsidR="005B1855" w:rsidRPr="005552A7">
        <w:rPr>
          <w:rFonts w:asciiTheme="majorHAnsi" w:hAnsiTheme="majorHAnsi" w:cstheme="majorHAnsi"/>
          <w:b/>
          <w:sz w:val="24"/>
          <w:szCs w:val="24"/>
          <w:u w:val="single"/>
        </w:rPr>
        <w:t xml:space="preserve"> </w:t>
      </w:r>
      <w:r w:rsidR="005552A7" w:rsidRPr="005552A7">
        <w:rPr>
          <w:rFonts w:asciiTheme="majorHAnsi" w:hAnsiTheme="majorHAnsi" w:cstheme="majorHAnsi"/>
          <w:b/>
          <w:sz w:val="24"/>
          <w:szCs w:val="24"/>
          <w:u w:val="single"/>
        </w:rPr>
        <w:t>REGULARIDADE FISCAL</w:t>
      </w:r>
    </w:p>
    <w:p w:rsidR="005B1855" w:rsidRPr="005D2A56" w:rsidRDefault="005B1855" w:rsidP="005B1855">
      <w:pPr>
        <w:pStyle w:val="PargrafodaLista"/>
        <w:tabs>
          <w:tab w:val="left" w:pos="1595"/>
        </w:tabs>
        <w:ind w:left="0"/>
        <w:rPr>
          <w:rFonts w:asciiTheme="majorHAnsi" w:hAnsiTheme="majorHAnsi" w:cstheme="majorHAnsi"/>
          <w:sz w:val="24"/>
          <w:szCs w:val="24"/>
        </w:rPr>
      </w:pPr>
    </w:p>
    <w:p w:rsidR="005552A7" w:rsidRPr="005552A7" w:rsidRDefault="005B1855" w:rsidP="005552A7">
      <w:pPr>
        <w:pStyle w:val="Corpodetexto"/>
        <w:spacing w:line="360" w:lineRule="au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    </w:t>
      </w:r>
      <w:r w:rsidR="005552A7" w:rsidRPr="005552A7">
        <w:rPr>
          <w:rFonts w:asciiTheme="majorHAnsi" w:eastAsia="Arial" w:hAnsiTheme="majorHAnsi" w:cstheme="majorHAnsi"/>
          <w:lang w:val="pt-BR" w:eastAsia="zh-CN"/>
        </w:rPr>
        <w:t xml:space="preserve">Prova de regularidade com as Fazendas Federal, Estadual e Municipal do domicílio ou sede da licitante, ou outra equivalente, na forma da Lei, dentro de seu prazo de validade, através da apresentação dos seguintes documentos: </w:t>
      </w:r>
    </w:p>
    <w:p w:rsidR="005552A7" w:rsidRPr="005552A7" w:rsidRDefault="005552A7" w:rsidP="005552A7">
      <w:pPr>
        <w:pStyle w:val="Corpodetexto"/>
        <w:spacing w:line="360" w:lineRule="au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a) Certidão Conjunta Negativa de Débitos Relativos aos Tributos Federais e a Dívida Ativa da União, expedida nos termos do Decreto Federal nº 5.512/05 e da Portaria Conjunta RFG/PGFN nº 1.751, de 02/10/2014. </w:t>
      </w:r>
    </w:p>
    <w:p w:rsidR="005552A7" w:rsidRPr="005552A7" w:rsidRDefault="005552A7" w:rsidP="005552A7">
      <w:pPr>
        <w:pStyle w:val="Corpodetexto"/>
        <w:spacing w:line="360" w:lineRule="au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b) Certidão negativa de Tributos Estaduais, expedida pela Secretaria e/ou Delegacia da Fazenda Estadual; </w:t>
      </w:r>
    </w:p>
    <w:p w:rsidR="005552A7" w:rsidRPr="005552A7" w:rsidRDefault="005552A7" w:rsidP="005552A7">
      <w:pPr>
        <w:pStyle w:val="Corpodetexto"/>
        <w:spacing w:line="360" w:lineRule="au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c) Certidão de regularidade fiscal junto ao Município do domicílio ou sede da licitante; </w:t>
      </w:r>
    </w:p>
    <w:p w:rsidR="005D2A56" w:rsidRDefault="005D2A56" w:rsidP="005B1855">
      <w:pPr>
        <w:pStyle w:val="PargrafodaLista"/>
        <w:tabs>
          <w:tab w:val="left" w:pos="1595"/>
        </w:tabs>
        <w:spacing w:line="360" w:lineRule="auto"/>
        <w:ind w:left="0"/>
        <w:rPr>
          <w:rFonts w:asciiTheme="majorHAnsi" w:hAnsiTheme="majorHAnsi" w:cstheme="majorHAnsi"/>
          <w:sz w:val="24"/>
          <w:szCs w:val="24"/>
        </w:rPr>
      </w:pPr>
    </w:p>
    <w:p w:rsidR="005B1855" w:rsidRPr="005D2A56" w:rsidRDefault="00BE28C3" w:rsidP="00C45E55">
      <w:pPr>
        <w:pStyle w:val="Corpodetexto"/>
        <w:ind w:left="0"/>
        <w:rPr>
          <w:rFonts w:asciiTheme="majorHAnsi" w:eastAsia="Arial" w:hAnsiTheme="majorHAnsi" w:cstheme="majorHAnsi"/>
          <w:b/>
          <w:u w:val="single"/>
          <w:lang w:val="pt-BR" w:eastAsia="zh-CN"/>
        </w:rPr>
      </w:pPr>
      <w:r>
        <w:rPr>
          <w:rFonts w:asciiTheme="majorHAnsi" w:eastAsia="Arial" w:hAnsiTheme="majorHAnsi" w:cstheme="majorHAnsi"/>
          <w:b/>
          <w:u w:val="single"/>
          <w:lang w:val="pt-BR" w:eastAsia="zh-CN"/>
        </w:rPr>
        <w:t>3.</w:t>
      </w:r>
      <w:r w:rsidR="00F614CE">
        <w:rPr>
          <w:rFonts w:asciiTheme="majorHAnsi" w:eastAsia="Arial" w:hAnsiTheme="majorHAnsi" w:cstheme="majorHAnsi"/>
          <w:b/>
          <w:u w:val="single"/>
          <w:lang w:val="pt-BR" w:eastAsia="zh-CN"/>
        </w:rPr>
        <w:t>1</w:t>
      </w:r>
      <w:r w:rsidR="005B1855" w:rsidRPr="005D2A56">
        <w:rPr>
          <w:rFonts w:asciiTheme="majorHAnsi" w:eastAsia="Arial" w:hAnsiTheme="majorHAnsi" w:cstheme="majorHAnsi"/>
          <w:b/>
          <w:u w:val="single"/>
          <w:lang w:val="pt-BR" w:eastAsia="zh-CN"/>
        </w:rPr>
        <w:t xml:space="preserve"> DA FISCALIZAÇÃO</w:t>
      </w:r>
    </w:p>
    <w:p w:rsidR="005B1855" w:rsidRPr="005D2A56" w:rsidRDefault="005B1855" w:rsidP="005552A7">
      <w:pPr>
        <w:pBdr>
          <w:top w:val="nil"/>
          <w:left w:val="nil"/>
          <w:bottom w:val="nil"/>
          <w:right w:val="nil"/>
          <w:between w:val="nil"/>
        </w:pBdr>
        <w:spacing w:before="240" w:line="360" w:lineRule="auto"/>
        <w:jc w:val="both"/>
        <w:rPr>
          <w:rFonts w:asciiTheme="majorHAnsi" w:hAnsiTheme="majorHAnsi" w:cstheme="majorHAnsi"/>
          <w:sz w:val="24"/>
          <w:szCs w:val="24"/>
        </w:rPr>
      </w:pPr>
      <w:r w:rsidRPr="005D2A56">
        <w:rPr>
          <w:rFonts w:asciiTheme="majorHAnsi" w:hAnsiTheme="majorHAnsi" w:cstheme="majorHAnsi"/>
          <w:sz w:val="24"/>
          <w:szCs w:val="24"/>
        </w:rPr>
        <w:t xml:space="preserve">         A execução do Contrato será objeto de acompanhamento, fiscalização e avaliação por parte do Município.</w:t>
      </w:r>
    </w:p>
    <w:p w:rsidR="005B1855" w:rsidRPr="005D2A56" w:rsidRDefault="005B1855" w:rsidP="005B1855">
      <w:pPr>
        <w:pBdr>
          <w:top w:val="nil"/>
          <w:left w:val="nil"/>
          <w:bottom w:val="nil"/>
          <w:right w:val="nil"/>
          <w:between w:val="nil"/>
        </w:pBd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 xml:space="preserve">         Quaisquer exigências da fiscalização inerentes ao objeto do Contrato deverão ser prontamente atendidas pela Contratada. </w:t>
      </w:r>
    </w:p>
    <w:p w:rsidR="005B1855" w:rsidRPr="005D2A56" w:rsidRDefault="005B1855" w:rsidP="005B1855">
      <w:pPr>
        <w:pBdr>
          <w:top w:val="nil"/>
          <w:left w:val="nil"/>
          <w:bottom w:val="nil"/>
          <w:right w:val="nil"/>
          <w:between w:val="nil"/>
        </w:pBd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 xml:space="preserve">         Qualquer fiscalização exercida pelo Município, feita em seu exclusivo interesse, não implica corresponsabilidade pela execução do objeto e não exime a contratada de suas obrigações pela fiscalização e sua perfeita execução. </w:t>
      </w:r>
    </w:p>
    <w:p w:rsidR="005B1855" w:rsidRPr="005D2A56" w:rsidRDefault="005B1855" w:rsidP="005B1855">
      <w:pPr>
        <w:pBdr>
          <w:top w:val="nil"/>
          <w:left w:val="nil"/>
          <w:bottom w:val="nil"/>
          <w:right w:val="nil"/>
          <w:between w:val="nil"/>
        </w:pBd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 xml:space="preserve">         A fiscalização do Município terá a incumbência de verificar a qualidade do objeto a ser entregue, observando todas as exigências constantes no Edital, podendo exigir sua reexecução quando este não atender os termos do que foi </w:t>
      </w:r>
      <w:r w:rsidR="00541B47">
        <w:rPr>
          <w:rFonts w:asciiTheme="majorHAnsi" w:hAnsiTheme="majorHAnsi" w:cstheme="majorHAnsi"/>
          <w:sz w:val="24"/>
          <w:szCs w:val="24"/>
        </w:rPr>
        <w:t>pactuado.</w:t>
      </w:r>
      <w:bookmarkStart w:id="0" w:name="_GoBack"/>
      <w:bookmarkEnd w:id="0"/>
    </w:p>
    <w:p w:rsidR="00F614CE" w:rsidRDefault="00F614CE" w:rsidP="005B1855">
      <w:pPr>
        <w:pStyle w:val="Corpodetexto"/>
        <w:rPr>
          <w:rFonts w:asciiTheme="majorHAnsi" w:eastAsia="Arial" w:hAnsiTheme="majorHAnsi" w:cstheme="majorHAnsi"/>
          <w:b/>
          <w:u w:val="single"/>
          <w:lang w:val="pt-BR" w:eastAsia="zh-CN"/>
        </w:rPr>
      </w:pPr>
    </w:p>
    <w:p w:rsidR="005B1855" w:rsidRPr="005D2A56" w:rsidRDefault="00F614CE" w:rsidP="005B1855">
      <w:pPr>
        <w:pStyle w:val="Corpodetexto"/>
        <w:rPr>
          <w:rFonts w:asciiTheme="majorHAnsi" w:eastAsia="Arial" w:hAnsiTheme="majorHAnsi" w:cstheme="majorHAnsi"/>
          <w:b/>
          <w:u w:val="single"/>
          <w:lang w:val="pt-BR" w:eastAsia="zh-CN"/>
        </w:rPr>
      </w:pPr>
      <w:r>
        <w:rPr>
          <w:rFonts w:asciiTheme="majorHAnsi" w:eastAsia="Arial" w:hAnsiTheme="majorHAnsi" w:cstheme="majorHAnsi"/>
          <w:b/>
          <w:u w:val="single"/>
          <w:lang w:val="pt-BR" w:eastAsia="zh-CN"/>
        </w:rPr>
        <w:t>3.2</w:t>
      </w:r>
      <w:r w:rsidR="005B1855" w:rsidRPr="005D2A56">
        <w:rPr>
          <w:rFonts w:asciiTheme="majorHAnsi" w:eastAsia="Arial" w:hAnsiTheme="majorHAnsi" w:cstheme="majorHAnsi"/>
          <w:b/>
          <w:u w:val="single"/>
          <w:lang w:val="pt-BR" w:eastAsia="zh-CN"/>
        </w:rPr>
        <w:t xml:space="preserve"> DAS SANÇÕES ADMINISTRATIVAS</w:t>
      </w:r>
    </w:p>
    <w:p w:rsidR="00BE28C3" w:rsidRDefault="00BE28C3" w:rsidP="00BE28C3">
      <w:pPr>
        <w:pBdr>
          <w:top w:val="nil"/>
          <w:left w:val="nil"/>
          <w:bottom w:val="nil"/>
          <w:right w:val="nil"/>
          <w:between w:val="nil"/>
        </w:pBdr>
        <w:spacing w:before="240" w:line="360"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Pr="00BE28C3">
        <w:rPr>
          <w:rFonts w:asciiTheme="majorHAnsi" w:hAnsiTheme="majorHAnsi" w:cstheme="majorHAnsi"/>
          <w:sz w:val="24"/>
          <w:szCs w:val="24"/>
        </w:rPr>
        <w:t>Pelo inadimplemento das obrigações, seja na condição de participantes do pregão ou de contratantes, as l</w:t>
      </w:r>
      <w:r>
        <w:rPr>
          <w:rFonts w:asciiTheme="majorHAnsi" w:hAnsiTheme="majorHAnsi" w:cstheme="majorHAnsi"/>
          <w:sz w:val="24"/>
          <w:szCs w:val="24"/>
        </w:rPr>
        <w:t xml:space="preserve">icitantes, conforme a infração, </w:t>
      </w:r>
      <w:r w:rsidRPr="00BE28C3">
        <w:rPr>
          <w:rFonts w:asciiTheme="majorHAnsi" w:hAnsiTheme="majorHAnsi" w:cstheme="majorHAnsi"/>
          <w:sz w:val="24"/>
          <w:szCs w:val="24"/>
        </w:rPr>
        <w:t xml:space="preserve">estarão sujeitas às seguintes penalidades: </w:t>
      </w:r>
    </w:p>
    <w:p w:rsidR="00BE28C3" w:rsidRDefault="00BE28C3" w:rsidP="00BE28C3">
      <w:pPr>
        <w:pBdr>
          <w:top w:val="nil"/>
          <w:left w:val="nil"/>
          <w:bottom w:val="nil"/>
          <w:right w:val="nil"/>
          <w:between w:val="nil"/>
        </w:pBdr>
        <w:spacing w:before="240" w:line="360" w:lineRule="auto"/>
        <w:jc w:val="both"/>
        <w:rPr>
          <w:rFonts w:asciiTheme="majorHAnsi" w:hAnsiTheme="majorHAnsi" w:cstheme="majorHAnsi"/>
          <w:sz w:val="24"/>
          <w:szCs w:val="24"/>
        </w:rPr>
      </w:pPr>
      <w:r w:rsidRPr="00BE28C3">
        <w:rPr>
          <w:rFonts w:asciiTheme="majorHAnsi" w:hAnsiTheme="majorHAnsi" w:cstheme="majorHAnsi"/>
          <w:sz w:val="24"/>
          <w:szCs w:val="24"/>
        </w:rPr>
        <w:lastRenderedPageBreak/>
        <w:t xml:space="preserve">a) deixar de apresentar a documentação exigida no certame ou deixar de manter a proposta (recusa injustificada para contratar): suspensão do direito de licitar e contratar com a Administração pelo prazo de 2 anos e multa de 10% sobre o valor estimado de contratação; </w:t>
      </w:r>
    </w:p>
    <w:p w:rsidR="00BE28C3" w:rsidRDefault="00BE28C3" w:rsidP="00BE28C3">
      <w:pPr>
        <w:pBdr>
          <w:top w:val="nil"/>
          <w:left w:val="nil"/>
          <w:bottom w:val="nil"/>
          <w:right w:val="nil"/>
          <w:between w:val="nil"/>
        </w:pBdr>
        <w:spacing w:before="240" w:line="360" w:lineRule="auto"/>
        <w:jc w:val="both"/>
        <w:rPr>
          <w:rFonts w:asciiTheme="majorHAnsi" w:hAnsiTheme="majorHAnsi" w:cstheme="majorHAnsi"/>
          <w:sz w:val="24"/>
          <w:szCs w:val="24"/>
        </w:rPr>
      </w:pPr>
      <w:r w:rsidRPr="00BE28C3">
        <w:rPr>
          <w:rFonts w:asciiTheme="majorHAnsi" w:hAnsiTheme="majorHAnsi" w:cstheme="majorHAnsi"/>
          <w:sz w:val="24"/>
          <w:szCs w:val="24"/>
        </w:rPr>
        <w:t xml:space="preserve">b) manter comportamento inadequado durante o pregão: afastamento do certame e suspensão do direito de licitar e contratar com a Administração pelo prazo de 2 anos; </w:t>
      </w:r>
    </w:p>
    <w:p w:rsidR="00BE28C3" w:rsidRDefault="00BE28C3" w:rsidP="00BE28C3">
      <w:pPr>
        <w:pBdr>
          <w:top w:val="nil"/>
          <w:left w:val="nil"/>
          <w:bottom w:val="nil"/>
          <w:right w:val="nil"/>
          <w:between w:val="nil"/>
        </w:pBdr>
        <w:spacing w:before="240" w:line="360" w:lineRule="auto"/>
        <w:jc w:val="both"/>
        <w:rPr>
          <w:rFonts w:asciiTheme="majorHAnsi" w:hAnsiTheme="majorHAnsi" w:cstheme="majorHAnsi"/>
          <w:sz w:val="24"/>
          <w:szCs w:val="24"/>
        </w:rPr>
      </w:pPr>
      <w:r w:rsidRPr="00BE28C3">
        <w:rPr>
          <w:rFonts w:asciiTheme="majorHAnsi" w:hAnsiTheme="majorHAnsi" w:cstheme="majorHAnsi"/>
          <w:sz w:val="24"/>
          <w:szCs w:val="24"/>
        </w:rPr>
        <w:t xml:space="preserve">c) executar o contrato com irregularidades passíveis de correção durante a execução e sem prejuízo ao resultado: advertência; </w:t>
      </w:r>
    </w:p>
    <w:p w:rsidR="00BE28C3" w:rsidRDefault="00BE28C3" w:rsidP="00BE28C3">
      <w:pPr>
        <w:pBdr>
          <w:top w:val="nil"/>
          <w:left w:val="nil"/>
          <w:bottom w:val="nil"/>
          <w:right w:val="nil"/>
          <w:between w:val="nil"/>
        </w:pBdr>
        <w:spacing w:before="240" w:line="360" w:lineRule="auto"/>
        <w:jc w:val="both"/>
        <w:rPr>
          <w:rFonts w:asciiTheme="majorHAnsi" w:hAnsiTheme="majorHAnsi" w:cstheme="majorHAnsi"/>
          <w:sz w:val="24"/>
          <w:szCs w:val="24"/>
        </w:rPr>
      </w:pPr>
      <w:r w:rsidRPr="00BE28C3">
        <w:rPr>
          <w:rFonts w:asciiTheme="majorHAnsi" w:hAnsiTheme="majorHAnsi" w:cstheme="majorHAnsi"/>
          <w:sz w:val="24"/>
          <w:szCs w:val="24"/>
        </w:rPr>
        <w:t xml:space="preserve">d) executar o contrato com atraso injustificado, até o limite de 15 dias, após os quais será considerado como inexecução contratual: multa diária de 0,5% sobre o valor atualizado do contrato; </w:t>
      </w:r>
    </w:p>
    <w:p w:rsidR="00BE28C3" w:rsidRDefault="00BE28C3" w:rsidP="00BE28C3">
      <w:pPr>
        <w:pBdr>
          <w:top w:val="nil"/>
          <w:left w:val="nil"/>
          <w:bottom w:val="nil"/>
          <w:right w:val="nil"/>
          <w:between w:val="nil"/>
        </w:pBdr>
        <w:spacing w:before="240" w:line="360" w:lineRule="auto"/>
        <w:jc w:val="both"/>
        <w:rPr>
          <w:rFonts w:asciiTheme="majorHAnsi" w:hAnsiTheme="majorHAnsi" w:cstheme="majorHAnsi"/>
          <w:sz w:val="24"/>
          <w:szCs w:val="24"/>
        </w:rPr>
      </w:pPr>
      <w:r w:rsidRPr="00BE28C3">
        <w:rPr>
          <w:rFonts w:asciiTheme="majorHAnsi" w:hAnsiTheme="majorHAnsi" w:cstheme="majorHAnsi"/>
          <w:sz w:val="24"/>
          <w:szCs w:val="24"/>
        </w:rPr>
        <w:t xml:space="preserve">e) inexecução parcial do contrato: suspensão do direito de licitar e contratar com a Administração pelo prazo de 02 anos e multa de 8% sobre o valor não adimplido do contrato; </w:t>
      </w:r>
    </w:p>
    <w:p w:rsidR="00BE28C3" w:rsidRDefault="00BE28C3" w:rsidP="00BE28C3">
      <w:pPr>
        <w:pBdr>
          <w:top w:val="nil"/>
          <w:left w:val="nil"/>
          <w:bottom w:val="nil"/>
          <w:right w:val="nil"/>
          <w:between w:val="nil"/>
        </w:pBdr>
        <w:spacing w:before="240" w:line="360" w:lineRule="auto"/>
        <w:jc w:val="both"/>
        <w:rPr>
          <w:rFonts w:asciiTheme="majorHAnsi" w:hAnsiTheme="majorHAnsi" w:cstheme="majorHAnsi"/>
          <w:sz w:val="24"/>
          <w:szCs w:val="24"/>
        </w:rPr>
      </w:pPr>
      <w:r w:rsidRPr="00BE28C3">
        <w:rPr>
          <w:rFonts w:asciiTheme="majorHAnsi" w:hAnsiTheme="majorHAnsi" w:cstheme="majorHAnsi"/>
          <w:sz w:val="24"/>
          <w:szCs w:val="24"/>
        </w:rPr>
        <w:t xml:space="preserve">f) inexecução total do contrato: suspensão do direito de licitar e contratar com a Administração pelo prazo de 02 anos e multa de 10% sobre o valor não adimplido do contrato; </w:t>
      </w:r>
    </w:p>
    <w:p w:rsidR="00BE28C3" w:rsidRDefault="00BE28C3" w:rsidP="00BE28C3">
      <w:pPr>
        <w:pBdr>
          <w:top w:val="nil"/>
          <w:left w:val="nil"/>
          <w:bottom w:val="nil"/>
          <w:right w:val="nil"/>
          <w:between w:val="nil"/>
        </w:pBdr>
        <w:spacing w:before="240" w:line="360" w:lineRule="auto"/>
        <w:jc w:val="both"/>
        <w:rPr>
          <w:rFonts w:asciiTheme="majorHAnsi" w:hAnsiTheme="majorHAnsi" w:cstheme="majorHAnsi"/>
          <w:sz w:val="24"/>
          <w:szCs w:val="24"/>
        </w:rPr>
      </w:pPr>
      <w:r w:rsidRPr="00BE28C3">
        <w:rPr>
          <w:rFonts w:asciiTheme="majorHAnsi" w:hAnsiTheme="majorHAnsi" w:cstheme="majorHAnsi"/>
          <w:sz w:val="24"/>
          <w:szCs w:val="24"/>
        </w:rPr>
        <w:t xml:space="preserve">g) causar prejuízo material resultante diretamente de execução contratual: declaração de inidoneidade cumulada com a suspensão do direito de licitar e contratar com a Administração pelo prazo de 05 anos e multa de 10% sobre o valor atualizado do contrato. 15.2 </w:t>
      </w:r>
    </w:p>
    <w:p w:rsidR="00053D39" w:rsidRPr="005D2A56" w:rsidRDefault="00BE28C3" w:rsidP="00BE28C3">
      <w:pPr>
        <w:pBdr>
          <w:top w:val="nil"/>
          <w:left w:val="nil"/>
          <w:bottom w:val="nil"/>
          <w:right w:val="nil"/>
          <w:between w:val="nil"/>
        </w:pBdr>
        <w:spacing w:before="240" w:line="360"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Pr="00BE28C3">
        <w:rPr>
          <w:rFonts w:asciiTheme="majorHAnsi" w:hAnsiTheme="majorHAnsi" w:cstheme="majorHAnsi"/>
          <w:sz w:val="24"/>
          <w:szCs w:val="24"/>
        </w:rPr>
        <w:t>Nenhum pagamento será efetuado pela Administração enquanto pendente de liquidação qualquer obrigação financeira que for imposta ao fornecedor em virtude de penalidade ou inadimplência contratual.</w:t>
      </w:r>
    </w:p>
    <w:p w:rsidR="00053D39" w:rsidRPr="005D2A56" w:rsidRDefault="00053D39">
      <w:pPr>
        <w:spacing w:line="360" w:lineRule="auto"/>
        <w:jc w:val="both"/>
        <w:rPr>
          <w:rFonts w:asciiTheme="majorHAnsi" w:hAnsiTheme="majorHAnsi" w:cstheme="majorHAnsi"/>
          <w:sz w:val="24"/>
          <w:szCs w:val="24"/>
        </w:rPr>
      </w:pPr>
    </w:p>
    <w:p w:rsidR="00053D39" w:rsidRPr="005D2A56" w:rsidRDefault="00F614CE">
      <w:pPr>
        <w:spacing w:line="360" w:lineRule="auto"/>
        <w:jc w:val="both"/>
        <w:rPr>
          <w:rFonts w:asciiTheme="majorHAnsi" w:hAnsiTheme="majorHAnsi" w:cstheme="majorHAnsi"/>
          <w:b/>
          <w:sz w:val="24"/>
          <w:szCs w:val="24"/>
          <w:u w:val="single"/>
        </w:rPr>
      </w:pPr>
      <w:r>
        <w:rPr>
          <w:rFonts w:asciiTheme="majorHAnsi" w:hAnsiTheme="majorHAnsi" w:cstheme="majorHAnsi"/>
          <w:b/>
          <w:sz w:val="24"/>
          <w:szCs w:val="24"/>
          <w:u w:val="single"/>
        </w:rPr>
        <w:t>3.3</w:t>
      </w:r>
      <w:r w:rsidR="005A401C" w:rsidRPr="005D2A56">
        <w:rPr>
          <w:rFonts w:asciiTheme="majorHAnsi" w:hAnsiTheme="majorHAnsi" w:cstheme="majorHAnsi"/>
          <w:b/>
          <w:sz w:val="24"/>
          <w:szCs w:val="24"/>
          <w:u w:val="single"/>
        </w:rPr>
        <w:t xml:space="preserve"> DOCUMENTOS PARA HABILITAÇÃO: </w:t>
      </w:r>
    </w:p>
    <w:p w:rsidR="00053D39" w:rsidRPr="005D2A56" w:rsidRDefault="00053D39">
      <w:pPr>
        <w:spacing w:line="360" w:lineRule="auto"/>
        <w:jc w:val="both"/>
        <w:rPr>
          <w:rFonts w:asciiTheme="majorHAnsi" w:hAnsiTheme="majorHAnsi" w:cstheme="majorHAnsi"/>
          <w:sz w:val="24"/>
          <w:szCs w:val="24"/>
        </w:rPr>
      </w:pPr>
    </w:p>
    <w:p w:rsidR="00053D39" w:rsidRPr="005D2A56" w:rsidRDefault="005A401C">
      <w:pPr>
        <w:spacing w:line="360" w:lineRule="auto"/>
        <w:ind w:firstLine="708"/>
        <w:jc w:val="both"/>
        <w:rPr>
          <w:rFonts w:asciiTheme="majorHAnsi" w:hAnsiTheme="majorHAnsi" w:cstheme="majorHAnsi"/>
          <w:sz w:val="24"/>
          <w:szCs w:val="24"/>
        </w:rPr>
      </w:pPr>
      <w:r w:rsidRPr="005D2A56">
        <w:rPr>
          <w:rFonts w:asciiTheme="majorHAnsi" w:hAnsiTheme="majorHAnsi" w:cstheme="majorHAnsi"/>
          <w:sz w:val="24"/>
          <w:szCs w:val="24"/>
        </w:rPr>
        <w:t>Para fornecimento/prestação dos serviços pretendidos os eventuais interessados deverão comprovar que atuam em ramo de atividade compatível com o objeto da licitação, bem como apresentar os seguintes documentos a título habilitação, nos termos do art. 62, da Lei nº 14.133/2021:</w:t>
      </w:r>
    </w:p>
    <w:p w:rsidR="00053D39" w:rsidRPr="005D2A56" w:rsidRDefault="00053D39">
      <w:pPr>
        <w:spacing w:line="360" w:lineRule="auto"/>
        <w:jc w:val="both"/>
        <w:rPr>
          <w:rFonts w:asciiTheme="majorHAnsi" w:hAnsiTheme="majorHAnsi" w:cstheme="majorHAnsi"/>
          <w:sz w:val="24"/>
          <w:szCs w:val="24"/>
        </w:rPr>
      </w:pPr>
    </w:p>
    <w:p w:rsidR="00053D39" w:rsidRPr="005D2A56" w:rsidRDefault="00053D39">
      <w:pPr>
        <w:spacing w:line="360" w:lineRule="auto"/>
        <w:ind w:left="708"/>
        <w:jc w:val="both"/>
        <w:rPr>
          <w:rFonts w:asciiTheme="majorHAnsi" w:hAnsiTheme="majorHAnsi" w:cstheme="majorHAnsi"/>
          <w:sz w:val="24"/>
          <w:szCs w:val="24"/>
        </w:rPr>
      </w:pPr>
    </w:p>
    <w:p w:rsidR="00053D39" w:rsidRPr="005D2A56" w:rsidRDefault="005A401C" w:rsidP="005D2A56">
      <w:pPr>
        <w:spacing w:line="360" w:lineRule="auto"/>
        <w:rPr>
          <w:rFonts w:asciiTheme="majorHAnsi" w:hAnsiTheme="majorHAnsi" w:cstheme="majorHAnsi"/>
          <w:sz w:val="24"/>
          <w:szCs w:val="24"/>
        </w:rPr>
      </w:pPr>
      <w:r w:rsidRPr="005D2A56">
        <w:rPr>
          <w:rFonts w:asciiTheme="majorHAnsi" w:hAnsiTheme="majorHAnsi" w:cstheme="majorHAnsi"/>
          <w:b/>
          <w:sz w:val="24"/>
          <w:szCs w:val="24"/>
          <w:u w:val="single"/>
        </w:rPr>
        <w:t>4. ESTIMATIVA DAS QUANTIDADES</w:t>
      </w:r>
    </w:p>
    <w:p w:rsidR="00C57321" w:rsidRPr="006030CC" w:rsidRDefault="00C57321" w:rsidP="00C57321">
      <w:pPr>
        <w:pStyle w:val="PargrafodaLista"/>
        <w:numPr>
          <w:ilvl w:val="1"/>
          <w:numId w:val="3"/>
        </w:numPr>
        <w:tabs>
          <w:tab w:val="left" w:pos="836"/>
        </w:tabs>
        <w:spacing w:before="271" w:line="360" w:lineRule="auto"/>
        <w:ind w:left="261" w:right="111"/>
        <w:rPr>
          <w:rFonts w:asciiTheme="majorHAnsi" w:eastAsia="Arial" w:hAnsiTheme="majorHAnsi" w:cstheme="majorHAnsi"/>
          <w:b/>
          <w:sz w:val="24"/>
          <w:szCs w:val="24"/>
          <w:lang w:val="pt-BR" w:eastAsia="zh-CN"/>
        </w:rPr>
      </w:pPr>
      <w:r>
        <w:rPr>
          <w:rFonts w:asciiTheme="majorHAnsi" w:eastAsia="Arial" w:hAnsiTheme="majorHAnsi" w:cstheme="majorHAnsi"/>
          <w:sz w:val="24"/>
          <w:szCs w:val="24"/>
          <w:lang w:val="pt-BR" w:eastAsia="zh-CN"/>
        </w:rPr>
        <w:t xml:space="preserve">Levando o histórico de aquisições de anos anteriores </w:t>
      </w:r>
      <w:r w:rsidRPr="006030CC">
        <w:rPr>
          <w:rFonts w:asciiTheme="majorHAnsi" w:eastAsia="Arial" w:hAnsiTheme="majorHAnsi" w:cstheme="majorHAnsi"/>
          <w:b/>
          <w:sz w:val="24"/>
          <w:szCs w:val="24"/>
          <w:lang w:val="pt-BR" w:eastAsia="zh-CN"/>
        </w:rPr>
        <w:t>às novas quantidades visão a possibilidade da renovação do contrato conforme Art. 84 da Lei n° 14.133/2021</w:t>
      </w:r>
    </w:p>
    <w:tbl>
      <w:tblPr>
        <w:tblW w:w="8948" w:type="dxa"/>
        <w:tblInd w:w="53" w:type="dxa"/>
        <w:tblCellMar>
          <w:left w:w="70" w:type="dxa"/>
          <w:right w:w="70" w:type="dxa"/>
        </w:tblCellMar>
        <w:tblLook w:val="04A0" w:firstRow="1" w:lastRow="0" w:firstColumn="1" w:lastColumn="0" w:noHBand="0" w:noVBand="1"/>
      </w:tblPr>
      <w:tblGrid>
        <w:gridCol w:w="880"/>
        <w:gridCol w:w="880"/>
        <w:gridCol w:w="1180"/>
        <w:gridCol w:w="6008"/>
      </w:tblGrid>
      <w:tr w:rsidR="006D7FF2" w:rsidRPr="006A61D2" w:rsidTr="001B1953">
        <w:trPr>
          <w:trHeight w:val="900"/>
        </w:trPr>
        <w:tc>
          <w:tcPr>
            <w:tcW w:w="880" w:type="dxa"/>
            <w:tcBorders>
              <w:top w:val="single" w:sz="4" w:space="0" w:color="auto"/>
              <w:left w:val="single" w:sz="4" w:space="0" w:color="000000"/>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b/>
                <w:bCs/>
                <w:sz w:val="20"/>
                <w:szCs w:val="20"/>
              </w:rPr>
            </w:pPr>
            <w:r>
              <w:rPr>
                <w:rFonts w:ascii="Calibri" w:hAnsi="Calibri" w:cs="Calibri"/>
                <w:b/>
                <w:bCs/>
                <w:sz w:val="20"/>
                <w:szCs w:val="20"/>
              </w:rPr>
              <w:t>Item</w:t>
            </w:r>
          </w:p>
        </w:tc>
        <w:tc>
          <w:tcPr>
            <w:tcW w:w="8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b/>
                <w:bCs/>
                <w:sz w:val="20"/>
                <w:szCs w:val="20"/>
              </w:rPr>
            </w:pPr>
            <w:r>
              <w:rPr>
                <w:rFonts w:ascii="Calibri" w:hAnsi="Calibri" w:cs="Calibri"/>
                <w:b/>
                <w:bCs/>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b/>
                <w:bCs/>
                <w:sz w:val="20"/>
                <w:szCs w:val="20"/>
              </w:rPr>
            </w:pPr>
            <w:r>
              <w:rPr>
                <w:rFonts w:ascii="Calibri" w:hAnsi="Calibri" w:cs="Calibri"/>
                <w:b/>
                <w:bCs/>
                <w:sz w:val="20"/>
                <w:szCs w:val="20"/>
              </w:rPr>
              <w:t>Quant. Estim.</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b/>
                <w:bCs/>
                <w:sz w:val="20"/>
                <w:szCs w:val="20"/>
              </w:rPr>
            </w:pPr>
            <w:r>
              <w:rPr>
                <w:rFonts w:ascii="Calibri" w:hAnsi="Calibri" w:cs="Calibri"/>
                <w:b/>
                <w:bCs/>
                <w:sz w:val="20"/>
                <w:szCs w:val="20"/>
              </w:rPr>
              <w:t>DESCRIÇÃO DOS ITENS</w:t>
            </w:r>
          </w:p>
        </w:tc>
      </w:tr>
      <w:tr w:rsidR="006D7FF2" w:rsidRPr="006A61D2" w:rsidTr="001B1953">
        <w:trPr>
          <w:trHeight w:val="33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01</w:t>
            </w:r>
          </w:p>
        </w:tc>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300</w:t>
            </w:r>
          </w:p>
        </w:tc>
        <w:tc>
          <w:tcPr>
            <w:tcW w:w="6008"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Bota de segurança cano longo tipo </w:t>
            </w:r>
            <w:proofErr w:type="gramStart"/>
            <w:r>
              <w:rPr>
                <w:rFonts w:ascii="Calibri" w:hAnsi="Calibri" w:cs="Calibri"/>
                <w:sz w:val="20"/>
                <w:szCs w:val="20"/>
              </w:rPr>
              <w:t>impermeável,  cor</w:t>
            </w:r>
            <w:proofErr w:type="gramEnd"/>
            <w:r>
              <w:rPr>
                <w:rFonts w:ascii="Calibri" w:hAnsi="Calibri" w:cs="Calibri"/>
                <w:sz w:val="20"/>
                <w:szCs w:val="20"/>
              </w:rPr>
              <w:t xml:space="preserve">   azul,   uso profissional,   em </w:t>
            </w:r>
            <w:proofErr w:type="spellStart"/>
            <w:r>
              <w:rPr>
                <w:rFonts w:ascii="Calibri" w:hAnsi="Calibri" w:cs="Calibri"/>
                <w:sz w:val="20"/>
                <w:szCs w:val="20"/>
              </w:rPr>
              <w:t>policloreto</w:t>
            </w:r>
            <w:proofErr w:type="spellEnd"/>
            <w:r>
              <w:rPr>
                <w:rFonts w:ascii="Calibri" w:hAnsi="Calibri" w:cs="Calibri"/>
                <w:sz w:val="20"/>
                <w:szCs w:val="20"/>
              </w:rPr>
              <w:t xml:space="preserve"> de  vinila  (PVC),  forro  em poliéster, injetado  em uma  só peça  com fechamento superior  em polaina com atacador para ajuste, tamanhos 36 ao 44, </w:t>
            </w:r>
            <w:r>
              <w:rPr>
                <w:rFonts w:ascii="Calibri" w:hAnsi="Calibri" w:cs="Calibri"/>
                <w:b/>
                <w:bCs/>
                <w:sz w:val="20"/>
                <w:szCs w:val="20"/>
              </w:rPr>
              <w:t>CA 39764.</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02</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100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proofErr w:type="gramStart"/>
            <w:r>
              <w:rPr>
                <w:rFonts w:ascii="Calibri" w:hAnsi="Calibri" w:cs="Calibri"/>
                <w:sz w:val="20"/>
                <w:szCs w:val="20"/>
              </w:rPr>
              <w:t>Botina  de</w:t>
            </w:r>
            <w:proofErr w:type="gramEnd"/>
            <w:r>
              <w:rPr>
                <w:rFonts w:ascii="Calibri" w:hAnsi="Calibri" w:cs="Calibri"/>
                <w:sz w:val="20"/>
                <w:szCs w:val="20"/>
              </w:rPr>
              <w:t xml:space="preserve">  Couro Vaqueta Hidrofugado com solado PU </w:t>
            </w:r>
            <w:proofErr w:type="spellStart"/>
            <w:r>
              <w:rPr>
                <w:rFonts w:ascii="Calibri" w:hAnsi="Calibri" w:cs="Calibri"/>
                <w:sz w:val="20"/>
                <w:szCs w:val="20"/>
              </w:rPr>
              <w:t>bidensidade</w:t>
            </w:r>
            <w:proofErr w:type="spellEnd"/>
            <w:r>
              <w:rPr>
                <w:rFonts w:ascii="Calibri" w:hAnsi="Calibri" w:cs="Calibri"/>
                <w:sz w:val="20"/>
                <w:szCs w:val="20"/>
              </w:rPr>
              <w:t xml:space="preserve"> injetado diretamente ao cabedal , solado </w:t>
            </w:r>
            <w:proofErr w:type="spellStart"/>
            <w:r>
              <w:rPr>
                <w:rFonts w:ascii="Calibri" w:hAnsi="Calibri" w:cs="Calibri"/>
                <w:sz w:val="20"/>
                <w:szCs w:val="20"/>
              </w:rPr>
              <w:t>bidensidade</w:t>
            </w:r>
            <w:proofErr w:type="spellEnd"/>
            <w:r>
              <w:rPr>
                <w:rFonts w:ascii="Calibri" w:hAnsi="Calibri" w:cs="Calibri"/>
                <w:sz w:val="20"/>
                <w:szCs w:val="20"/>
              </w:rPr>
              <w:t xml:space="preserve">, biqueira em PVC, Palmilha de montagem fixada diretamente no sistema Strobel com EVA duplada removível minimo de 4mm, antimicrobiana, cabedal em couro, minimo de 18mm linhas de espessura, com elástico lateral e costura simples, forração da </w:t>
            </w:r>
            <w:proofErr w:type="spellStart"/>
            <w:r>
              <w:rPr>
                <w:rFonts w:ascii="Calibri" w:hAnsi="Calibri" w:cs="Calibri"/>
                <w:sz w:val="20"/>
                <w:szCs w:val="20"/>
              </w:rPr>
              <w:t>gaspea</w:t>
            </w:r>
            <w:proofErr w:type="spellEnd"/>
            <w:r>
              <w:rPr>
                <w:rFonts w:ascii="Calibri" w:hAnsi="Calibri" w:cs="Calibri"/>
                <w:sz w:val="20"/>
                <w:szCs w:val="20"/>
              </w:rPr>
              <w:t xml:space="preserve"> em não tecido </w:t>
            </w:r>
            <w:proofErr w:type="spellStart"/>
            <w:r>
              <w:rPr>
                <w:rFonts w:ascii="Calibri" w:hAnsi="Calibri" w:cs="Calibri"/>
                <w:sz w:val="20"/>
                <w:szCs w:val="20"/>
              </w:rPr>
              <w:t>transpiravel</w:t>
            </w:r>
            <w:proofErr w:type="spellEnd"/>
            <w:r>
              <w:rPr>
                <w:rFonts w:ascii="Calibri" w:hAnsi="Calibri" w:cs="Calibri"/>
                <w:sz w:val="20"/>
                <w:szCs w:val="20"/>
              </w:rPr>
              <w:t xml:space="preserve">, dorso acolchoado, </w:t>
            </w:r>
            <w:r>
              <w:rPr>
                <w:rFonts w:ascii="Calibri" w:hAnsi="Calibri" w:cs="Calibri"/>
                <w:b/>
                <w:bCs/>
                <w:sz w:val="20"/>
                <w:szCs w:val="20"/>
              </w:rPr>
              <w:t>para eletricista</w:t>
            </w:r>
            <w:r>
              <w:rPr>
                <w:rFonts w:ascii="Calibri" w:hAnsi="Calibri" w:cs="Calibri"/>
                <w:sz w:val="20"/>
                <w:szCs w:val="20"/>
              </w:rPr>
              <w:t xml:space="preserve">, </w:t>
            </w:r>
            <w:r>
              <w:rPr>
                <w:rFonts w:ascii="Calibri" w:hAnsi="Calibri" w:cs="Calibri"/>
                <w:b/>
                <w:bCs/>
                <w:sz w:val="20"/>
                <w:szCs w:val="20"/>
              </w:rPr>
              <w:t>CA 43594</w:t>
            </w:r>
            <w:r>
              <w:rPr>
                <w:rFonts w:ascii="Calibri" w:hAnsi="Calibri" w:cs="Calibri"/>
                <w:sz w:val="20"/>
                <w:szCs w:val="20"/>
              </w:rPr>
              <w:t xml:space="preserve">. Embalagem individual em saco </w:t>
            </w:r>
            <w:proofErr w:type="spellStart"/>
            <w:r>
              <w:rPr>
                <w:rFonts w:ascii="Calibri" w:hAnsi="Calibri" w:cs="Calibri"/>
                <w:sz w:val="20"/>
                <w:szCs w:val="20"/>
              </w:rPr>
              <w:t>plastico</w:t>
            </w:r>
            <w:proofErr w:type="spellEnd"/>
            <w:r>
              <w:rPr>
                <w:rFonts w:ascii="Calibri" w:hAnsi="Calibri" w:cs="Calibri"/>
                <w:sz w:val="20"/>
                <w:szCs w:val="20"/>
              </w:rPr>
              <w:t xml:space="preserve"> com identificação da </w:t>
            </w:r>
            <w:proofErr w:type="spellStart"/>
            <w:r>
              <w:rPr>
                <w:rFonts w:ascii="Calibri" w:hAnsi="Calibri" w:cs="Calibri"/>
                <w:sz w:val="20"/>
                <w:szCs w:val="20"/>
              </w:rPr>
              <w:t>referencia</w:t>
            </w:r>
            <w:proofErr w:type="spellEnd"/>
            <w:r>
              <w:rPr>
                <w:rFonts w:ascii="Calibri" w:hAnsi="Calibri" w:cs="Calibri"/>
                <w:sz w:val="20"/>
                <w:szCs w:val="20"/>
              </w:rPr>
              <w:t xml:space="preserve"> e numeração. </w:t>
            </w:r>
            <w:proofErr w:type="gramStart"/>
            <w:r>
              <w:rPr>
                <w:rFonts w:ascii="Calibri" w:hAnsi="Calibri" w:cs="Calibri"/>
                <w:sz w:val="20"/>
                <w:szCs w:val="20"/>
              </w:rPr>
              <w:t>tamanhos</w:t>
            </w:r>
            <w:proofErr w:type="gramEnd"/>
            <w:r>
              <w:rPr>
                <w:rFonts w:ascii="Calibri" w:hAnsi="Calibri" w:cs="Calibri"/>
                <w:sz w:val="20"/>
                <w:szCs w:val="20"/>
              </w:rPr>
              <w:t xml:space="preserve"> 36 ao 44.</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03</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400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proofErr w:type="gramStart"/>
            <w:r>
              <w:rPr>
                <w:rFonts w:ascii="Calibri" w:hAnsi="Calibri" w:cs="Calibri"/>
                <w:sz w:val="20"/>
                <w:szCs w:val="20"/>
              </w:rPr>
              <w:t>Botina  de</w:t>
            </w:r>
            <w:proofErr w:type="gramEnd"/>
            <w:r>
              <w:rPr>
                <w:rFonts w:ascii="Calibri" w:hAnsi="Calibri" w:cs="Calibri"/>
                <w:sz w:val="20"/>
                <w:szCs w:val="20"/>
              </w:rPr>
              <w:t xml:space="preserve">  Couro Vaqueta Hidrofugado com solado PU </w:t>
            </w:r>
            <w:proofErr w:type="spellStart"/>
            <w:r>
              <w:rPr>
                <w:rFonts w:ascii="Calibri" w:hAnsi="Calibri" w:cs="Calibri"/>
                <w:sz w:val="20"/>
                <w:szCs w:val="20"/>
              </w:rPr>
              <w:t>bidensidade</w:t>
            </w:r>
            <w:proofErr w:type="spellEnd"/>
            <w:r>
              <w:rPr>
                <w:rFonts w:ascii="Calibri" w:hAnsi="Calibri" w:cs="Calibri"/>
                <w:sz w:val="20"/>
                <w:szCs w:val="20"/>
              </w:rPr>
              <w:t xml:space="preserve"> injetado diretamente ao cabedal , solado </w:t>
            </w:r>
            <w:proofErr w:type="spellStart"/>
            <w:r>
              <w:rPr>
                <w:rFonts w:ascii="Calibri" w:hAnsi="Calibri" w:cs="Calibri"/>
                <w:sz w:val="20"/>
                <w:szCs w:val="20"/>
              </w:rPr>
              <w:t>bidensidade</w:t>
            </w:r>
            <w:proofErr w:type="spellEnd"/>
            <w:r>
              <w:rPr>
                <w:rFonts w:ascii="Calibri" w:hAnsi="Calibri" w:cs="Calibri"/>
                <w:sz w:val="20"/>
                <w:szCs w:val="20"/>
              </w:rPr>
              <w:t xml:space="preserve">, biqueira em PVC, Palmilha de montagem fixada diretamente no sistema Strobel com EVA duplada removível minimo de 4mm, antimicrobiana, cabedal em couro, minimo de 18mm linhas de espessura, com elástico lateral e costura simples, forração da </w:t>
            </w:r>
            <w:proofErr w:type="spellStart"/>
            <w:r>
              <w:rPr>
                <w:rFonts w:ascii="Calibri" w:hAnsi="Calibri" w:cs="Calibri"/>
                <w:sz w:val="20"/>
                <w:szCs w:val="20"/>
              </w:rPr>
              <w:t>gaspea</w:t>
            </w:r>
            <w:proofErr w:type="spellEnd"/>
            <w:r>
              <w:rPr>
                <w:rFonts w:ascii="Calibri" w:hAnsi="Calibri" w:cs="Calibri"/>
                <w:sz w:val="20"/>
                <w:szCs w:val="20"/>
              </w:rPr>
              <w:t xml:space="preserve"> em não tecido </w:t>
            </w:r>
            <w:proofErr w:type="spellStart"/>
            <w:r>
              <w:rPr>
                <w:rFonts w:ascii="Calibri" w:hAnsi="Calibri" w:cs="Calibri"/>
                <w:sz w:val="20"/>
                <w:szCs w:val="20"/>
              </w:rPr>
              <w:t>transpiravel</w:t>
            </w:r>
            <w:proofErr w:type="spellEnd"/>
            <w:r>
              <w:rPr>
                <w:rFonts w:ascii="Calibri" w:hAnsi="Calibri" w:cs="Calibri"/>
                <w:sz w:val="20"/>
                <w:szCs w:val="20"/>
              </w:rPr>
              <w:t xml:space="preserve">, dorso acolchoado. </w:t>
            </w:r>
            <w:r>
              <w:rPr>
                <w:rFonts w:ascii="Calibri" w:hAnsi="Calibri" w:cs="Calibri"/>
                <w:b/>
                <w:bCs/>
                <w:sz w:val="20"/>
                <w:szCs w:val="20"/>
              </w:rPr>
              <w:t>CA 47572</w:t>
            </w:r>
            <w:r>
              <w:rPr>
                <w:rFonts w:ascii="Calibri" w:hAnsi="Calibri" w:cs="Calibri"/>
                <w:sz w:val="20"/>
                <w:szCs w:val="20"/>
              </w:rPr>
              <w:t xml:space="preserve">. Embalagem individual em saco </w:t>
            </w:r>
            <w:proofErr w:type="spellStart"/>
            <w:r>
              <w:rPr>
                <w:rFonts w:ascii="Calibri" w:hAnsi="Calibri" w:cs="Calibri"/>
                <w:sz w:val="20"/>
                <w:szCs w:val="20"/>
              </w:rPr>
              <w:t>plastico</w:t>
            </w:r>
            <w:proofErr w:type="spellEnd"/>
            <w:r>
              <w:rPr>
                <w:rFonts w:ascii="Calibri" w:hAnsi="Calibri" w:cs="Calibri"/>
                <w:sz w:val="20"/>
                <w:szCs w:val="20"/>
              </w:rPr>
              <w:t xml:space="preserve"> com identificação da </w:t>
            </w:r>
            <w:proofErr w:type="spellStart"/>
            <w:r>
              <w:rPr>
                <w:rFonts w:ascii="Calibri" w:hAnsi="Calibri" w:cs="Calibri"/>
                <w:sz w:val="20"/>
                <w:szCs w:val="20"/>
              </w:rPr>
              <w:t>referencia</w:t>
            </w:r>
            <w:proofErr w:type="spellEnd"/>
            <w:r>
              <w:rPr>
                <w:rFonts w:ascii="Calibri" w:hAnsi="Calibri" w:cs="Calibri"/>
                <w:sz w:val="20"/>
                <w:szCs w:val="20"/>
              </w:rPr>
              <w:t xml:space="preserve"> e numeração tamanhos 36 ao 44.</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04</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200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Botina para Alta Temperatura, Solado em borracha </w:t>
            </w:r>
            <w:proofErr w:type="spellStart"/>
            <w:r>
              <w:rPr>
                <w:rFonts w:ascii="Calibri" w:hAnsi="Calibri" w:cs="Calibri"/>
                <w:sz w:val="20"/>
                <w:szCs w:val="20"/>
              </w:rPr>
              <w:t>nitrilica</w:t>
            </w:r>
            <w:proofErr w:type="spellEnd"/>
            <w:r>
              <w:rPr>
                <w:rFonts w:ascii="Calibri" w:hAnsi="Calibri" w:cs="Calibri"/>
                <w:sz w:val="20"/>
                <w:szCs w:val="20"/>
              </w:rPr>
              <w:t xml:space="preserve">, blaqueado, suporta até 300graus por 60 segundos,  biqueira em PVC, atendendo normas da ABNT NBR ISSO 20344:2015 ABNT NBR ISO 20345:2015, cabedal em couro minimo 18mm linhas de espessura, com fechamento em </w:t>
            </w:r>
            <w:proofErr w:type="spellStart"/>
            <w:r>
              <w:rPr>
                <w:rFonts w:ascii="Calibri" w:hAnsi="Calibri" w:cs="Calibri"/>
                <w:sz w:val="20"/>
                <w:szCs w:val="20"/>
              </w:rPr>
              <w:t>elastico</w:t>
            </w:r>
            <w:proofErr w:type="spellEnd"/>
            <w:r>
              <w:rPr>
                <w:rFonts w:ascii="Calibri" w:hAnsi="Calibri" w:cs="Calibri"/>
                <w:sz w:val="20"/>
                <w:szCs w:val="20"/>
              </w:rPr>
              <w:t xml:space="preserve"> lateral e </w:t>
            </w:r>
            <w:proofErr w:type="spellStart"/>
            <w:r>
              <w:rPr>
                <w:rFonts w:ascii="Calibri" w:hAnsi="Calibri" w:cs="Calibri"/>
                <w:sz w:val="20"/>
                <w:szCs w:val="20"/>
              </w:rPr>
              <w:t>cosutra</w:t>
            </w:r>
            <w:proofErr w:type="spellEnd"/>
            <w:r>
              <w:rPr>
                <w:rFonts w:ascii="Calibri" w:hAnsi="Calibri" w:cs="Calibri"/>
                <w:sz w:val="20"/>
                <w:szCs w:val="20"/>
              </w:rPr>
              <w:t xml:space="preserve"> simples, forração da </w:t>
            </w:r>
            <w:proofErr w:type="spellStart"/>
            <w:r>
              <w:rPr>
                <w:rFonts w:ascii="Calibri" w:hAnsi="Calibri" w:cs="Calibri"/>
                <w:sz w:val="20"/>
                <w:szCs w:val="20"/>
              </w:rPr>
              <w:t>gaspea</w:t>
            </w:r>
            <w:proofErr w:type="spellEnd"/>
            <w:r>
              <w:rPr>
                <w:rFonts w:ascii="Calibri" w:hAnsi="Calibri" w:cs="Calibri"/>
                <w:sz w:val="20"/>
                <w:szCs w:val="20"/>
              </w:rPr>
              <w:t xml:space="preserve"> em não tecido </w:t>
            </w:r>
            <w:proofErr w:type="spellStart"/>
            <w:r>
              <w:rPr>
                <w:rFonts w:ascii="Calibri" w:hAnsi="Calibri" w:cs="Calibri"/>
                <w:sz w:val="20"/>
                <w:szCs w:val="20"/>
              </w:rPr>
              <w:t>transpirave</w:t>
            </w:r>
            <w:proofErr w:type="spellEnd"/>
            <w:r>
              <w:rPr>
                <w:rFonts w:ascii="Calibri" w:hAnsi="Calibri" w:cs="Calibri"/>
                <w:sz w:val="20"/>
                <w:szCs w:val="20"/>
              </w:rPr>
              <w:t xml:space="preserve">, dorso acolchoado, contraforte em </w:t>
            </w:r>
            <w:proofErr w:type="spellStart"/>
            <w:r>
              <w:rPr>
                <w:rFonts w:ascii="Calibri" w:hAnsi="Calibri" w:cs="Calibri"/>
                <w:sz w:val="20"/>
                <w:szCs w:val="20"/>
              </w:rPr>
              <w:t>papelao</w:t>
            </w:r>
            <w:proofErr w:type="spellEnd"/>
            <w:r>
              <w:rPr>
                <w:rFonts w:ascii="Calibri" w:hAnsi="Calibri" w:cs="Calibri"/>
                <w:sz w:val="20"/>
                <w:szCs w:val="20"/>
              </w:rPr>
              <w:t xml:space="preserve"> couro e forro suador em não tecido </w:t>
            </w:r>
            <w:proofErr w:type="spellStart"/>
            <w:r>
              <w:rPr>
                <w:rFonts w:ascii="Calibri" w:hAnsi="Calibri" w:cs="Calibri"/>
                <w:sz w:val="20"/>
                <w:szCs w:val="20"/>
              </w:rPr>
              <w:t>respiravel</w:t>
            </w:r>
            <w:proofErr w:type="spellEnd"/>
            <w:r>
              <w:rPr>
                <w:rFonts w:ascii="Calibri" w:hAnsi="Calibri" w:cs="Calibri"/>
                <w:sz w:val="20"/>
                <w:szCs w:val="20"/>
              </w:rPr>
              <w:t xml:space="preserve">, palmilha de montagem fixada diretamente no sistema Strobel com EVA duplada removível minimo de 4mm. </w:t>
            </w:r>
            <w:r>
              <w:rPr>
                <w:rFonts w:ascii="Calibri" w:hAnsi="Calibri" w:cs="Calibri"/>
                <w:b/>
                <w:bCs/>
                <w:sz w:val="20"/>
                <w:szCs w:val="20"/>
              </w:rPr>
              <w:t>CA: 32623</w:t>
            </w:r>
            <w:r>
              <w:rPr>
                <w:rFonts w:ascii="Calibri" w:hAnsi="Calibri" w:cs="Calibri"/>
                <w:sz w:val="20"/>
                <w:szCs w:val="20"/>
              </w:rPr>
              <w:t>, tamanhos 36 ao 44.</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05</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200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CAPA DE CHUVA LONGA C/ CAPUZ-Capa de chuva longa confeccionada em tecido de nylon emborrachado, com uma face em poliamida e a outra em PVC. Mangas </w:t>
            </w:r>
            <w:proofErr w:type="gramStart"/>
            <w:r>
              <w:rPr>
                <w:rFonts w:ascii="Calibri" w:hAnsi="Calibri" w:cs="Calibri"/>
                <w:sz w:val="20"/>
                <w:szCs w:val="20"/>
              </w:rPr>
              <w:t>longas  e</w:t>
            </w:r>
            <w:proofErr w:type="gramEnd"/>
            <w:r>
              <w:rPr>
                <w:rFonts w:ascii="Calibri" w:hAnsi="Calibri" w:cs="Calibri"/>
                <w:sz w:val="20"/>
                <w:szCs w:val="20"/>
              </w:rPr>
              <w:t xml:space="preserve"> com capuz fixo e fechamento frontal duplo, através de dois zíperes de nylon e lapela, ou zíper e velcro. Com faixas refletivas de 30 a 40 mm, contornando o tórax e os punhos, os punhos com </w:t>
            </w:r>
            <w:proofErr w:type="spellStart"/>
            <w:r>
              <w:rPr>
                <w:rFonts w:ascii="Calibri" w:hAnsi="Calibri" w:cs="Calibri"/>
                <w:sz w:val="20"/>
                <w:szCs w:val="20"/>
              </w:rPr>
              <w:t>elastico</w:t>
            </w:r>
            <w:proofErr w:type="spellEnd"/>
            <w:r>
              <w:rPr>
                <w:rFonts w:ascii="Calibri" w:hAnsi="Calibri" w:cs="Calibri"/>
                <w:sz w:val="20"/>
                <w:szCs w:val="20"/>
              </w:rPr>
              <w:t xml:space="preserve">. Toda capa costurada em maquina overloque de minimo cinco fios, todas as costuras impermeabilizadas internamente por selagem térmica. Conforme NBR e com certificado de aprovação, CA. Logotipo\desenho atrás e tamanho da estampa podendo variar de pequeno a grande e brasão do município na parte frontal </w:t>
            </w:r>
            <w:proofErr w:type="gramStart"/>
            <w:r>
              <w:rPr>
                <w:rFonts w:ascii="Calibri" w:hAnsi="Calibri" w:cs="Calibri"/>
                <w:sz w:val="20"/>
                <w:szCs w:val="20"/>
              </w:rPr>
              <w:t>esquerda ,</w:t>
            </w:r>
            <w:proofErr w:type="gramEnd"/>
            <w:r>
              <w:rPr>
                <w:rFonts w:ascii="Calibri" w:hAnsi="Calibri" w:cs="Calibri"/>
                <w:sz w:val="20"/>
                <w:szCs w:val="20"/>
              </w:rPr>
              <w:t xml:space="preserve"> em sublimação ou serigrafia colorido. Tamanhos variados. Cor, dizeres, logos, tamanhos P ao XGG, será solicitado pela secretaria demandante. </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06</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200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Creme protetor para óleo e graxa, 200 g, </w:t>
            </w:r>
            <w:r>
              <w:rPr>
                <w:rFonts w:ascii="Calibri" w:hAnsi="Calibri" w:cs="Calibri"/>
                <w:b/>
                <w:bCs/>
                <w:sz w:val="20"/>
                <w:szCs w:val="20"/>
              </w:rPr>
              <w:t>CA 43802</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07</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30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Luva de cobertura de alta tensão para eletricistas, vaqueta com punho de raspa couro de 15 </w:t>
            </w:r>
            <w:proofErr w:type="gramStart"/>
            <w:r>
              <w:rPr>
                <w:rFonts w:ascii="Calibri" w:hAnsi="Calibri" w:cs="Calibri"/>
                <w:sz w:val="20"/>
                <w:szCs w:val="20"/>
              </w:rPr>
              <w:t xml:space="preserve">centímetros  </w:t>
            </w:r>
            <w:r>
              <w:rPr>
                <w:rFonts w:ascii="Calibri" w:hAnsi="Calibri" w:cs="Calibri"/>
                <w:b/>
                <w:bCs/>
                <w:sz w:val="20"/>
                <w:szCs w:val="20"/>
              </w:rPr>
              <w:t>CA</w:t>
            </w:r>
            <w:proofErr w:type="gramEnd"/>
            <w:r>
              <w:rPr>
                <w:rFonts w:ascii="Calibri" w:hAnsi="Calibri" w:cs="Calibri"/>
                <w:b/>
                <w:bCs/>
                <w:sz w:val="20"/>
                <w:szCs w:val="20"/>
              </w:rPr>
              <w:t xml:space="preserve"> 16153</w:t>
            </w:r>
            <w:r>
              <w:rPr>
                <w:rFonts w:ascii="Calibri" w:hAnsi="Calibri" w:cs="Calibri"/>
                <w:sz w:val="20"/>
                <w:szCs w:val="20"/>
              </w:rPr>
              <w:t>. Par.</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08</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6</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Luva de isolamento para </w:t>
            </w:r>
            <w:proofErr w:type="gramStart"/>
            <w:r>
              <w:rPr>
                <w:rFonts w:ascii="Calibri" w:hAnsi="Calibri" w:cs="Calibri"/>
                <w:sz w:val="20"/>
                <w:szCs w:val="20"/>
              </w:rPr>
              <w:t>eletricistas,  Borracha</w:t>
            </w:r>
            <w:proofErr w:type="gramEnd"/>
            <w:r>
              <w:rPr>
                <w:rFonts w:ascii="Calibri" w:hAnsi="Calibri" w:cs="Calibri"/>
                <w:sz w:val="20"/>
                <w:szCs w:val="20"/>
              </w:rPr>
              <w:t xml:space="preserve"> Natural; Comprimento: 14"; Categorias: A, H, Z, C; Classe: 0. Resistência de: 1000 V </w:t>
            </w:r>
            <w:r>
              <w:rPr>
                <w:rFonts w:ascii="Calibri" w:hAnsi="Calibri" w:cs="Calibri"/>
                <w:b/>
                <w:bCs/>
                <w:sz w:val="20"/>
                <w:szCs w:val="20"/>
              </w:rPr>
              <w:t>CA 35863</w:t>
            </w:r>
            <w:r>
              <w:rPr>
                <w:rFonts w:ascii="Calibri" w:hAnsi="Calibri" w:cs="Calibri"/>
                <w:sz w:val="20"/>
                <w:szCs w:val="20"/>
              </w:rPr>
              <w:t>. Par.</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09</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200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Luva de segurança tricotada em fios mesclados de algodão e poliéster, palma e face palmar dos dedos com pigmentos antiderrapantes de PVC e extremidade dos dedos com reforço de borracha de PVC. Punho com elástico, com acabamento overloque, </w:t>
            </w:r>
            <w:r>
              <w:rPr>
                <w:rFonts w:ascii="Calibri" w:hAnsi="Calibri" w:cs="Calibri"/>
                <w:b/>
                <w:bCs/>
                <w:sz w:val="20"/>
                <w:szCs w:val="20"/>
              </w:rPr>
              <w:t>CA 34474</w:t>
            </w:r>
            <w:r>
              <w:rPr>
                <w:rFonts w:ascii="Calibri" w:hAnsi="Calibri" w:cs="Calibri"/>
                <w:sz w:val="20"/>
                <w:szCs w:val="20"/>
              </w:rPr>
              <w:t>. Par.</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10</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2000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Luva de vaqueta mista com raspa, elástico </w:t>
            </w:r>
            <w:proofErr w:type="gramStart"/>
            <w:r>
              <w:rPr>
                <w:rFonts w:ascii="Calibri" w:hAnsi="Calibri" w:cs="Calibri"/>
                <w:sz w:val="20"/>
                <w:szCs w:val="20"/>
              </w:rPr>
              <w:t>punho,  reforço</w:t>
            </w:r>
            <w:proofErr w:type="gramEnd"/>
            <w:r>
              <w:rPr>
                <w:rFonts w:ascii="Calibri" w:hAnsi="Calibri" w:cs="Calibri"/>
                <w:sz w:val="20"/>
                <w:szCs w:val="20"/>
              </w:rPr>
              <w:t xml:space="preserve"> interno em raspa na palma e face palmar dos dedos, reforço externo em raspa entre os dedos polegar e indicador.</w:t>
            </w:r>
            <w:r>
              <w:rPr>
                <w:rFonts w:ascii="Calibri" w:hAnsi="Calibri" w:cs="Calibri"/>
                <w:b/>
                <w:bCs/>
                <w:sz w:val="20"/>
                <w:szCs w:val="20"/>
              </w:rPr>
              <w:t>CA 13831</w:t>
            </w:r>
            <w:r>
              <w:rPr>
                <w:rFonts w:ascii="Calibri" w:hAnsi="Calibri" w:cs="Calibri"/>
                <w:sz w:val="20"/>
                <w:szCs w:val="20"/>
              </w:rPr>
              <w:t>. Par.</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11</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200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Luva Nitrílica Verde Cano Longo 45cm, </w:t>
            </w:r>
            <w:r>
              <w:rPr>
                <w:rFonts w:ascii="Calibri" w:hAnsi="Calibri" w:cs="Calibri"/>
                <w:b/>
                <w:bCs/>
                <w:sz w:val="20"/>
                <w:szCs w:val="20"/>
              </w:rPr>
              <w:t>CA 48883</w:t>
            </w:r>
            <w:r>
              <w:rPr>
                <w:rFonts w:ascii="Calibri" w:hAnsi="Calibri" w:cs="Calibri"/>
                <w:sz w:val="20"/>
                <w:szCs w:val="20"/>
              </w:rPr>
              <w:t>. Par.</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12</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1000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Luva poliamida com banho de PU na palma da mão, multitato, </w:t>
            </w:r>
            <w:r>
              <w:rPr>
                <w:rFonts w:ascii="Calibri" w:hAnsi="Calibri" w:cs="Calibri"/>
                <w:b/>
                <w:bCs/>
                <w:sz w:val="20"/>
                <w:szCs w:val="20"/>
              </w:rPr>
              <w:t>CA 32034</w:t>
            </w:r>
            <w:r>
              <w:rPr>
                <w:rFonts w:ascii="Calibri" w:hAnsi="Calibri" w:cs="Calibri"/>
                <w:sz w:val="20"/>
                <w:szCs w:val="20"/>
              </w:rPr>
              <w:t>.</w:t>
            </w:r>
            <w:r>
              <w:rPr>
                <w:rFonts w:ascii="Calibri" w:hAnsi="Calibri" w:cs="Calibri"/>
                <w:sz w:val="20"/>
                <w:szCs w:val="20"/>
              </w:rPr>
              <w:br/>
              <w:t>Par.</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13</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300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Óculos de proteção, escuro, </w:t>
            </w:r>
            <w:r>
              <w:rPr>
                <w:rFonts w:ascii="Calibri" w:hAnsi="Calibri" w:cs="Calibri"/>
                <w:b/>
                <w:bCs/>
                <w:sz w:val="20"/>
                <w:szCs w:val="20"/>
              </w:rPr>
              <w:t>CA 15649.</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14</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300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 xml:space="preserve">Óculos de proteção, incolor, </w:t>
            </w:r>
            <w:r>
              <w:rPr>
                <w:rFonts w:ascii="Calibri" w:hAnsi="Calibri" w:cs="Calibri"/>
                <w:b/>
                <w:bCs/>
                <w:sz w:val="20"/>
                <w:szCs w:val="20"/>
              </w:rPr>
              <w:t>CA 14990.</w:t>
            </w:r>
          </w:p>
        </w:tc>
      </w:tr>
      <w:tr w:rsidR="006D7FF2" w:rsidRPr="006A61D2" w:rsidTr="001B1953">
        <w:trPr>
          <w:trHeight w:val="330"/>
        </w:trPr>
        <w:tc>
          <w:tcPr>
            <w:tcW w:w="880"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15</w:t>
            </w:r>
          </w:p>
        </w:tc>
        <w:tc>
          <w:tcPr>
            <w:tcW w:w="880" w:type="dxa"/>
            <w:tcBorders>
              <w:top w:val="single" w:sz="4" w:space="0" w:color="auto"/>
              <w:left w:val="nil"/>
              <w:bottom w:val="single" w:sz="4" w:space="0" w:color="auto"/>
              <w:right w:val="single" w:sz="4" w:space="0" w:color="000000"/>
            </w:tcBorders>
            <w:shd w:val="clear" w:color="auto" w:fill="auto"/>
            <w:noWrap/>
            <w:vAlign w:val="center"/>
            <w:hideMark/>
          </w:tcPr>
          <w:p w:rsidR="006D7FF2" w:rsidRDefault="006D7FF2" w:rsidP="001B1953">
            <w:pPr>
              <w:jc w:val="center"/>
              <w:rPr>
                <w:rFonts w:ascii="Calibri" w:hAnsi="Calibri" w:cs="Calibri"/>
                <w:color w:val="000000"/>
                <w:sz w:val="20"/>
                <w:szCs w:val="20"/>
              </w:rPr>
            </w:pPr>
            <w:r>
              <w:rPr>
                <w:rFonts w:ascii="Calibri" w:hAnsi="Calibri" w:cs="Calibri"/>
                <w:color w:val="000000"/>
                <w:sz w:val="20"/>
                <w:szCs w:val="20"/>
              </w:rPr>
              <w:t>Unidade</w:t>
            </w:r>
          </w:p>
        </w:tc>
        <w:tc>
          <w:tcPr>
            <w:tcW w:w="1180"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jc w:val="center"/>
              <w:rPr>
                <w:rFonts w:ascii="Calibri" w:hAnsi="Calibri" w:cs="Calibri"/>
                <w:sz w:val="20"/>
                <w:szCs w:val="20"/>
              </w:rPr>
            </w:pPr>
            <w:r>
              <w:rPr>
                <w:rFonts w:ascii="Calibri" w:hAnsi="Calibri" w:cs="Calibri"/>
                <w:sz w:val="20"/>
                <w:szCs w:val="20"/>
              </w:rPr>
              <w:t>200</w:t>
            </w:r>
          </w:p>
        </w:tc>
        <w:tc>
          <w:tcPr>
            <w:tcW w:w="6008" w:type="dxa"/>
            <w:tcBorders>
              <w:top w:val="single" w:sz="4" w:space="0" w:color="auto"/>
              <w:left w:val="nil"/>
              <w:bottom w:val="single" w:sz="4" w:space="0" w:color="auto"/>
              <w:right w:val="single" w:sz="4" w:space="0" w:color="000000"/>
            </w:tcBorders>
            <w:shd w:val="clear" w:color="auto" w:fill="auto"/>
            <w:vAlign w:val="center"/>
            <w:hideMark/>
          </w:tcPr>
          <w:p w:rsidR="006D7FF2" w:rsidRDefault="006D7FF2" w:rsidP="001B1953">
            <w:pPr>
              <w:rPr>
                <w:rFonts w:ascii="Calibri" w:hAnsi="Calibri" w:cs="Calibri"/>
                <w:sz w:val="20"/>
                <w:szCs w:val="20"/>
              </w:rPr>
            </w:pPr>
            <w:r>
              <w:rPr>
                <w:rFonts w:ascii="Calibri" w:hAnsi="Calibri" w:cs="Calibri"/>
                <w:sz w:val="20"/>
                <w:szCs w:val="20"/>
              </w:rPr>
              <w:t>Protetor solar em creme com repelente, repelente não tóxico, fórmula sem DEET, FPS 60, 120 g.</w:t>
            </w:r>
          </w:p>
        </w:tc>
      </w:tr>
    </w:tbl>
    <w:p w:rsidR="00C57321" w:rsidRDefault="00C57321" w:rsidP="006D7FF2">
      <w:pPr>
        <w:pStyle w:val="PargrafodaLista"/>
        <w:tabs>
          <w:tab w:val="left" w:pos="836"/>
        </w:tabs>
        <w:spacing w:before="271" w:line="360" w:lineRule="auto"/>
        <w:ind w:right="111"/>
        <w:rPr>
          <w:rFonts w:asciiTheme="majorHAnsi" w:eastAsia="Arial" w:hAnsiTheme="majorHAnsi" w:cstheme="majorHAnsi"/>
          <w:sz w:val="24"/>
          <w:szCs w:val="24"/>
          <w:lang w:val="pt-BR" w:eastAsia="zh-CN"/>
        </w:rPr>
      </w:pPr>
    </w:p>
    <w:p w:rsidR="00053D39" w:rsidRPr="005D2A56" w:rsidRDefault="00BE28C3" w:rsidP="005D2A56">
      <w:pPr>
        <w:spacing w:line="360" w:lineRule="auto"/>
        <w:rPr>
          <w:rFonts w:asciiTheme="majorHAnsi" w:hAnsiTheme="majorHAnsi" w:cstheme="majorHAnsi"/>
          <w:b/>
          <w:sz w:val="24"/>
          <w:szCs w:val="24"/>
          <w:u w:val="single"/>
        </w:rPr>
      </w:pPr>
      <w:r>
        <w:rPr>
          <w:rFonts w:asciiTheme="majorHAnsi" w:hAnsiTheme="majorHAnsi" w:cstheme="majorHAnsi"/>
          <w:b/>
          <w:sz w:val="24"/>
          <w:szCs w:val="24"/>
          <w:u w:val="single"/>
        </w:rPr>
        <w:t>5</w:t>
      </w:r>
      <w:r w:rsidR="005A401C" w:rsidRPr="005552A7">
        <w:rPr>
          <w:rFonts w:asciiTheme="majorHAnsi" w:hAnsiTheme="majorHAnsi" w:cstheme="majorHAnsi"/>
          <w:b/>
          <w:sz w:val="24"/>
          <w:szCs w:val="24"/>
          <w:u w:val="single"/>
        </w:rPr>
        <w:t>. DESCRIÇÃO DA SOLUÇÃO COMO UM TODO</w:t>
      </w:r>
    </w:p>
    <w:p w:rsidR="00F614CE" w:rsidRDefault="005D2A56" w:rsidP="00F614CE">
      <w:pPr>
        <w:pStyle w:val="PargrafodaLista"/>
        <w:tabs>
          <w:tab w:val="left" w:pos="1594"/>
        </w:tabs>
        <w:spacing w:line="360" w:lineRule="auto"/>
        <w:ind w:left="-1"/>
        <w:rPr>
          <w:rFonts w:asciiTheme="majorHAnsi" w:eastAsia="Arial" w:hAnsiTheme="majorHAnsi" w:cstheme="majorHAnsi"/>
          <w:sz w:val="24"/>
          <w:szCs w:val="24"/>
          <w:lang w:val="pt-BR" w:eastAsia="zh-CN"/>
        </w:rPr>
      </w:pPr>
      <w:r w:rsidRPr="005552A7">
        <w:rPr>
          <w:rFonts w:asciiTheme="majorHAnsi" w:eastAsia="Arial" w:hAnsiTheme="majorHAnsi" w:cstheme="majorHAnsi"/>
          <w:sz w:val="24"/>
          <w:szCs w:val="24"/>
          <w:lang w:val="pt-BR" w:eastAsia="zh-CN"/>
        </w:rPr>
        <w:t xml:space="preserve">     </w:t>
      </w:r>
      <w:r w:rsidR="00F614CE" w:rsidRPr="005552A7">
        <w:rPr>
          <w:rFonts w:asciiTheme="majorHAnsi" w:eastAsia="Arial" w:hAnsiTheme="majorHAnsi" w:cstheme="majorHAnsi"/>
          <w:sz w:val="24"/>
          <w:szCs w:val="24"/>
          <w:lang w:val="pt-BR" w:eastAsia="zh-CN"/>
        </w:rPr>
        <w:t xml:space="preserve">     As entrega</w:t>
      </w:r>
      <w:r w:rsidR="00F614CE">
        <w:rPr>
          <w:rFonts w:asciiTheme="majorHAnsi" w:eastAsia="Arial" w:hAnsiTheme="majorHAnsi" w:cstheme="majorHAnsi"/>
          <w:sz w:val="24"/>
          <w:szCs w:val="24"/>
          <w:lang w:val="pt-BR" w:eastAsia="zh-CN"/>
        </w:rPr>
        <w:t>s deverão ser efetuadas junto ao Almoxarifado da Prefeitura</w:t>
      </w:r>
      <w:r w:rsidR="00F614CE" w:rsidRPr="005552A7">
        <w:rPr>
          <w:rFonts w:asciiTheme="majorHAnsi" w:eastAsia="Arial" w:hAnsiTheme="majorHAnsi" w:cstheme="majorHAnsi"/>
          <w:sz w:val="24"/>
          <w:szCs w:val="24"/>
          <w:lang w:val="pt-BR" w:eastAsia="zh-CN"/>
        </w:rPr>
        <w:t xml:space="preserve">, </w:t>
      </w:r>
      <w:r w:rsidR="00F614CE">
        <w:rPr>
          <w:rFonts w:asciiTheme="majorHAnsi" w:eastAsia="Arial" w:hAnsiTheme="majorHAnsi" w:cstheme="majorHAnsi"/>
          <w:sz w:val="24"/>
          <w:szCs w:val="24"/>
          <w:lang w:val="pt-BR" w:eastAsia="zh-CN"/>
        </w:rPr>
        <w:t>em horário de expediente.</w:t>
      </w:r>
      <w:r w:rsidR="00C57321">
        <w:rPr>
          <w:rFonts w:asciiTheme="majorHAnsi" w:eastAsia="Arial" w:hAnsiTheme="majorHAnsi" w:cstheme="majorHAnsi"/>
          <w:sz w:val="24"/>
          <w:szCs w:val="24"/>
          <w:lang w:val="pt-BR" w:eastAsia="zh-CN"/>
        </w:rPr>
        <w:t xml:space="preserve"> </w:t>
      </w:r>
      <w:r w:rsidR="00C57321" w:rsidRPr="006D7FF2">
        <w:rPr>
          <w:rFonts w:asciiTheme="majorHAnsi" w:eastAsia="Arial" w:hAnsiTheme="majorHAnsi" w:cstheme="majorHAnsi"/>
          <w:sz w:val="24"/>
          <w:szCs w:val="24"/>
          <w:lang w:val="pt-BR" w:eastAsia="zh-CN"/>
        </w:rPr>
        <w:t xml:space="preserve">O prazo para entrega dos matérias será de </w:t>
      </w:r>
      <w:r w:rsidR="00C25484">
        <w:rPr>
          <w:rFonts w:asciiTheme="majorHAnsi" w:eastAsia="Arial" w:hAnsiTheme="majorHAnsi" w:cstheme="majorHAnsi"/>
          <w:sz w:val="24"/>
          <w:szCs w:val="24"/>
          <w:lang w:val="pt-BR" w:eastAsia="zh-CN"/>
        </w:rPr>
        <w:t>10</w:t>
      </w:r>
      <w:r w:rsidR="00C57321" w:rsidRPr="006D7FF2">
        <w:rPr>
          <w:rFonts w:asciiTheme="majorHAnsi" w:eastAsia="Arial" w:hAnsiTheme="majorHAnsi" w:cstheme="majorHAnsi"/>
          <w:sz w:val="24"/>
          <w:szCs w:val="24"/>
          <w:lang w:val="pt-BR" w:eastAsia="zh-CN"/>
        </w:rPr>
        <w:t xml:space="preserve"> dias</w:t>
      </w:r>
      <w:r w:rsidR="00C57321">
        <w:rPr>
          <w:rFonts w:asciiTheme="majorHAnsi" w:eastAsia="Arial" w:hAnsiTheme="majorHAnsi" w:cstheme="majorHAnsi"/>
          <w:sz w:val="24"/>
          <w:szCs w:val="24"/>
          <w:lang w:val="pt-BR" w:eastAsia="zh-CN"/>
        </w:rPr>
        <w:t xml:space="preserve"> após o envio da requisição de compra.</w:t>
      </w:r>
      <w:r w:rsidR="00F614CE">
        <w:rPr>
          <w:rFonts w:asciiTheme="majorHAnsi" w:eastAsia="Arial" w:hAnsiTheme="majorHAnsi" w:cstheme="majorHAnsi"/>
          <w:sz w:val="24"/>
          <w:szCs w:val="24"/>
          <w:lang w:val="pt-BR" w:eastAsia="zh-CN"/>
        </w:rPr>
        <w:t xml:space="preserve"> </w:t>
      </w:r>
      <w:r w:rsidR="00F614CE" w:rsidRPr="005552A7">
        <w:rPr>
          <w:rFonts w:asciiTheme="majorHAnsi" w:eastAsia="Arial" w:hAnsiTheme="majorHAnsi" w:cstheme="majorHAnsi"/>
          <w:sz w:val="24"/>
          <w:szCs w:val="24"/>
          <w:lang w:val="pt-BR" w:eastAsia="zh-CN"/>
        </w:rPr>
        <w:t xml:space="preserve">O servidor responsável pelo recebimento realizará minucioso exame do produto entregue a fim de dirimir quaisquer dúvidas, à vista das características exigidas neste Instrumento. </w:t>
      </w:r>
    </w:p>
    <w:p w:rsidR="00F614CE" w:rsidRDefault="00F614CE" w:rsidP="00F614CE">
      <w:pPr>
        <w:pStyle w:val="PargrafodaLista"/>
        <w:tabs>
          <w:tab w:val="left" w:pos="1594"/>
        </w:tabs>
        <w:spacing w:line="360" w:lineRule="auto"/>
        <w:ind w:left="-1"/>
        <w:rPr>
          <w:rFonts w:asciiTheme="majorHAnsi" w:eastAsia="Arial" w:hAnsiTheme="majorHAnsi" w:cstheme="majorHAnsi"/>
          <w:sz w:val="24"/>
          <w:szCs w:val="24"/>
          <w:lang w:val="pt-BR" w:eastAsia="zh-CN"/>
        </w:rPr>
      </w:pPr>
      <w:r>
        <w:rPr>
          <w:rFonts w:asciiTheme="majorHAnsi" w:eastAsia="Arial" w:hAnsiTheme="majorHAnsi" w:cstheme="majorHAnsi"/>
          <w:sz w:val="24"/>
          <w:szCs w:val="24"/>
          <w:lang w:val="pt-BR" w:eastAsia="zh-CN"/>
        </w:rPr>
        <w:t xml:space="preserve">      </w:t>
      </w:r>
      <w:r w:rsidRPr="005552A7">
        <w:rPr>
          <w:rFonts w:asciiTheme="majorHAnsi" w:eastAsia="Arial" w:hAnsiTheme="majorHAnsi" w:cstheme="majorHAnsi"/>
          <w:sz w:val="24"/>
          <w:szCs w:val="24"/>
          <w:lang w:val="pt-BR" w:eastAsia="zh-CN"/>
        </w:rPr>
        <w:t xml:space="preserve">Caso o objeto não corresponda ao exigido, a Contratada deverá providenciar, no prazo máximo de </w:t>
      </w:r>
      <w:r>
        <w:rPr>
          <w:rFonts w:asciiTheme="majorHAnsi" w:eastAsia="Arial" w:hAnsiTheme="majorHAnsi" w:cstheme="majorHAnsi"/>
          <w:sz w:val="24"/>
          <w:szCs w:val="24"/>
          <w:lang w:val="pt-BR" w:eastAsia="zh-CN"/>
        </w:rPr>
        <w:t>0</w:t>
      </w:r>
      <w:r w:rsidR="00C57321">
        <w:rPr>
          <w:rFonts w:asciiTheme="majorHAnsi" w:eastAsia="Arial" w:hAnsiTheme="majorHAnsi" w:cstheme="majorHAnsi"/>
          <w:sz w:val="24"/>
          <w:szCs w:val="24"/>
          <w:lang w:val="pt-BR" w:eastAsia="zh-CN"/>
        </w:rPr>
        <w:t>3</w:t>
      </w:r>
      <w:r>
        <w:rPr>
          <w:rFonts w:asciiTheme="majorHAnsi" w:eastAsia="Arial" w:hAnsiTheme="majorHAnsi" w:cstheme="majorHAnsi"/>
          <w:sz w:val="24"/>
          <w:szCs w:val="24"/>
          <w:lang w:val="pt-BR" w:eastAsia="zh-CN"/>
        </w:rPr>
        <w:t xml:space="preserve"> </w:t>
      </w:r>
      <w:r w:rsidRPr="005552A7">
        <w:rPr>
          <w:rFonts w:asciiTheme="majorHAnsi" w:eastAsia="Arial" w:hAnsiTheme="majorHAnsi" w:cstheme="majorHAnsi"/>
          <w:sz w:val="24"/>
          <w:szCs w:val="24"/>
          <w:lang w:val="pt-BR" w:eastAsia="zh-CN"/>
        </w:rPr>
        <w:t>(</w:t>
      </w:r>
      <w:r w:rsidR="00C57321">
        <w:rPr>
          <w:rFonts w:asciiTheme="majorHAnsi" w:eastAsia="Arial" w:hAnsiTheme="majorHAnsi" w:cstheme="majorHAnsi"/>
          <w:sz w:val="24"/>
          <w:szCs w:val="24"/>
          <w:lang w:val="pt-BR" w:eastAsia="zh-CN"/>
        </w:rPr>
        <w:t>três</w:t>
      </w:r>
      <w:r w:rsidRPr="005552A7">
        <w:rPr>
          <w:rFonts w:asciiTheme="majorHAnsi" w:eastAsia="Arial" w:hAnsiTheme="majorHAnsi" w:cstheme="majorHAnsi"/>
          <w:sz w:val="24"/>
          <w:szCs w:val="24"/>
          <w:lang w:val="pt-BR" w:eastAsia="zh-CN"/>
        </w:rPr>
        <w:t xml:space="preserve">) dias, contados da solicitação pelo fiscal, a sua substituição visando ao atendimento das especificações, sem prejuízo da incidência das sanções previstas neste Edital. </w:t>
      </w:r>
    </w:p>
    <w:p w:rsidR="00F614CE" w:rsidRDefault="00F614CE" w:rsidP="00F614CE">
      <w:pPr>
        <w:pStyle w:val="PargrafodaLista"/>
        <w:tabs>
          <w:tab w:val="left" w:pos="1594"/>
        </w:tabs>
        <w:spacing w:line="360" w:lineRule="auto"/>
        <w:ind w:left="-1"/>
        <w:rPr>
          <w:rFonts w:asciiTheme="majorHAnsi" w:eastAsia="Arial" w:hAnsiTheme="majorHAnsi" w:cstheme="majorHAnsi"/>
          <w:sz w:val="24"/>
          <w:szCs w:val="24"/>
          <w:lang w:val="pt-BR" w:eastAsia="zh-CN"/>
        </w:rPr>
      </w:pPr>
      <w:r>
        <w:rPr>
          <w:rFonts w:asciiTheme="majorHAnsi" w:eastAsia="Arial" w:hAnsiTheme="majorHAnsi" w:cstheme="majorHAnsi"/>
          <w:sz w:val="24"/>
          <w:szCs w:val="24"/>
          <w:lang w:val="pt-BR" w:eastAsia="zh-CN"/>
        </w:rPr>
        <w:t xml:space="preserve">      </w:t>
      </w:r>
      <w:r w:rsidRPr="005552A7">
        <w:rPr>
          <w:rFonts w:asciiTheme="majorHAnsi" w:eastAsia="Arial" w:hAnsiTheme="majorHAnsi" w:cstheme="majorHAnsi"/>
          <w:sz w:val="24"/>
          <w:szCs w:val="24"/>
          <w:lang w:val="pt-BR" w:eastAsia="zh-CN"/>
        </w:rPr>
        <w:t xml:space="preserve">Satisfeitas as condições de verificação do objeto, o Município emitirá Termo de Recebimento nas seguintes condições: </w:t>
      </w:r>
    </w:p>
    <w:p w:rsidR="00F614CE" w:rsidRDefault="00F614CE" w:rsidP="00F614CE">
      <w:pPr>
        <w:pStyle w:val="PargrafodaLista"/>
        <w:tabs>
          <w:tab w:val="left" w:pos="1594"/>
        </w:tabs>
        <w:spacing w:line="360" w:lineRule="auto"/>
        <w:ind w:left="-1"/>
        <w:rPr>
          <w:rFonts w:asciiTheme="majorHAnsi" w:eastAsia="Arial" w:hAnsiTheme="majorHAnsi" w:cstheme="majorHAnsi"/>
          <w:sz w:val="24"/>
          <w:szCs w:val="24"/>
          <w:lang w:val="pt-BR" w:eastAsia="zh-CN"/>
        </w:rPr>
      </w:pPr>
      <w:r>
        <w:rPr>
          <w:rFonts w:asciiTheme="majorHAnsi" w:eastAsia="Arial" w:hAnsiTheme="majorHAnsi" w:cstheme="majorHAnsi"/>
          <w:sz w:val="24"/>
          <w:szCs w:val="24"/>
          <w:lang w:val="pt-BR" w:eastAsia="zh-CN"/>
        </w:rPr>
        <w:t xml:space="preserve">       </w:t>
      </w:r>
      <w:r w:rsidRPr="005552A7">
        <w:rPr>
          <w:rFonts w:asciiTheme="majorHAnsi" w:eastAsia="Arial" w:hAnsiTheme="majorHAnsi" w:cstheme="majorHAnsi"/>
          <w:sz w:val="24"/>
          <w:szCs w:val="24"/>
          <w:lang w:val="pt-BR" w:eastAsia="zh-CN"/>
        </w:rPr>
        <w:t xml:space="preserve">a) provisoriamente, dentro do prazo de 5 (cinco) dias, contados da data da entrega do objeto; e </w:t>
      </w:r>
    </w:p>
    <w:p w:rsidR="00F614CE" w:rsidRDefault="00F614CE" w:rsidP="00F614CE">
      <w:pPr>
        <w:pStyle w:val="PargrafodaLista"/>
        <w:tabs>
          <w:tab w:val="left" w:pos="1594"/>
        </w:tabs>
        <w:spacing w:line="360" w:lineRule="auto"/>
        <w:ind w:left="-1"/>
        <w:rPr>
          <w:rFonts w:asciiTheme="majorHAnsi" w:eastAsia="Arial" w:hAnsiTheme="majorHAnsi" w:cstheme="majorHAnsi"/>
          <w:sz w:val="24"/>
          <w:szCs w:val="24"/>
          <w:lang w:val="pt-BR" w:eastAsia="zh-CN"/>
        </w:rPr>
      </w:pPr>
      <w:r>
        <w:rPr>
          <w:rFonts w:asciiTheme="majorHAnsi" w:eastAsia="Arial" w:hAnsiTheme="majorHAnsi" w:cstheme="majorHAnsi"/>
          <w:sz w:val="24"/>
          <w:szCs w:val="24"/>
          <w:lang w:val="pt-BR" w:eastAsia="zh-CN"/>
        </w:rPr>
        <w:t xml:space="preserve">       </w:t>
      </w:r>
      <w:r w:rsidRPr="005552A7">
        <w:rPr>
          <w:rFonts w:asciiTheme="majorHAnsi" w:eastAsia="Arial" w:hAnsiTheme="majorHAnsi" w:cstheme="majorHAnsi"/>
          <w:sz w:val="24"/>
          <w:szCs w:val="24"/>
          <w:lang w:val="pt-BR" w:eastAsia="zh-CN"/>
        </w:rPr>
        <w:t xml:space="preserve">b) definitivamente, dentro do prazo de 15 (quinze) dias, contados do recebimento provisório.  </w:t>
      </w:r>
    </w:p>
    <w:p w:rsidR="00F614CE" w:rsidRPr="005552A7" w:rsidRDefault="00F614CE" w:rsidP="00F614CE">
      <w:pPr>
        <w:pStyle w:val="PargrafodaLista"/>
        <w:tabs>
          <w:tab w:val="left" w:pos="1594"/>
        </w:tabs>
        <w:spacing w:line="360" w:lineRule="auto"/>
        <w:ind w:left="-1"/>
        <w:rPr>
          <w:rFonts w:asciiTheme="majorHAnsi" w:eastAsia="Arial" w:hAnsiTheme="majorHAnsi" w:cstheme="majorHAnsi"/>
          <w:sz w:val="24"/>
          <w:szCs w:val="24"/>
          <w:lang w:val="pt-BR" w:eastAsia="zh-CN"/>
        </w:rPr>
      </w:pPr>
      <w:r>
        <w:rPr>
          <w:rFonts w:asciiTheme="majorHAnsi" w:eastAsia="Arial" w:hAnsiTheme="majorHAnsi" w:cstheme="majorHAnsi"/>
          <w:sz w:val="24"/>
          <w:szCs w:val="24"/>
          <w:lang w:val="pt-BR" w:eastAsia="zh-CN"/>
        </w:rPr>
        <w:t xml:space="preserve">       </w:t>
      </w:r>
      <w:r w:rsidRPr="005552A7">
        <w:rPr>
          <w:rFonts w:asciiTheme="majorHAnsi" w:eastAsia="Arial" w:hAnsiTheme="majorHAnsi" w:cstheme="majorHAnsi"/>
          <w:sz w:val="24"/>
          <w:szCs w:val="24"/>
          <w:lang w:val="pt-BR" w:eastAsia="zh-CN"/>
        </w:rPr>
        <w:t>Os termos de recebimento provisório e definitivo poderão ser supridos pelo ateste efetuado por servidor designado no verso da nota fiscal/fatura.</w:t>
      </w:r>
    </w:p>
    <w:sectPr w:rsidR="00F614CE" w:rsidRPr="005552A7" w:rsidSect="00944BA4">
      <w:footerReference w:type="default" r:id="rId7"/>
      <w:pgSz w:w="11906" w:h="16838"/>
      <w:pgMar w:top="1702" w:right="1274" w:bottom="1134" w:left="1701" w:header="0" w:footer="73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85A" w:rsidRDefault="005F085A" w:rsidP="00053D39">
      <w:r>
        <w:separator/>
      </w:r>
    </w:p>
  </w:endnote>
  <w:endnote w:type="continuationSeparator" w:id="0">
    <w:p w:rsidR="005F085A" w:rsidRDefault="005F085A" w:rsidP="00053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D39" w:rsidRDefault="00053D39">
    <w:pPr>
      <w:pBdr>
        <w:top w:val="nil"/>
        <w:left w:val="nil"/>
        <w:bottom w:val="nil"/>
        <w:right w:val="nil"/>
        <w:between w:val="nil"/>
      </w:pBdr>
      <w:tabs>
        <w:tab w:val="center" w:pos="4419"/>
        <w:tab w:val="right" w:pos="8838"/>
      </w:tabs>
      <w:jc w:val="center"/>
      <w:rPr>
        <w:color w:val="000000"/>
      </w:rPr>
    </w:pPr>
  </w:p>
  <w:p w:rsidR="00053D39" w:rsidRDefault="00053D39">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85A" w:rsidRDefault="005F085A" w:rsidP="00053D39">
      <w:r>
        <w:separator/>
      </w:r>
    </w:p>
  </w:footnote>
  <w:footnote w:type="continuationSeparator" w:id="0">
    <w:p w:rsidR="005F085A" w:rsidRDefault="005F085A" w:rsidP="00053D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D413F"/>
    <w:multiLevelType w:val="hybridMultilevel"/>
    <w:tmpl w:val="860E680E"/>
    <w:name w:val="Lista numerada 10"/>
    <w:lvl w:ilvl="0" w:tplc="4050A6C6">
      <w:start w:val="14"/>
      <w:numFmt w:val="decimal"/>
      <w:lvlText w:val="%1"/>
      <w:lvlJc w:val="left"/>
      <w:pPr>
        <w:ind w:left="0" w:firstLine="0"/>
      </w:pPr>
      <w:rPr>
        <w:lang w:val="pt-PT" w:eastAsia="en-US" w:bidi="ar-SA"/>
      </w:rPr>
    </w:lvl>
    <w:lvl w:ilvl="1" w:tplc="6E5C3B62">
      <w:numFmt w:val="none"/>
      <w:lvlText w:val=""/>
      <w:lvlJc w:val="left"/>
      <w:pPr>
        <w:ind w:left="0" w:firstLine="0"/>
      </w:pPr>
    </w:lvl>
    <w:lvl w:ilvl="2" w:tplc="922045B8">
      <w:numFmt w:val="none"/>
      <w:lvlText w:val=""/>
      <w:lvlJc w:val="left"/>
      <w:pPr>
        <w:ind w:left="0" w:firstLine="0"/>
      </w:pPr>
    </w:lvl>
    <w:lvl w:ilvl="3" w:tplc="2932DDAC">
      <w:numFmt w:val="bullet"/>
      <w:lvlText w:val="•"/>
      <w:lvlJc w:val="left"/>
      <w:pPr>
        <w:ind w:left="2123" w:firstLine="0"/>
      </w:pPr>
      <w:rPr>
        <w:lang w:val="pt-PT" w:eastAsia="en-US" w:bidi="ar-SA"/>
      </w:rPr>
    </w:lvl>
    <w:lvl w:ilvl="4" w:tplc="D1C64394">
      <w:numFmt w:val="bullet"/>
      <w:lvlText w:val="•"/>
      <w:lvlJc w:val="left"/>
      <w:pPr>
        <w:ind w:left="2985" w:firstLine="0"/>
      </w:pPr>
      <w:rPr>
        <w:lang w:val="pt-PT" w:eastAsia="en-US" w:bidi="ar-SA"/>
      </w:rPr>
    </w:lvl>
    <w:lvl w:ilvl="5" w:tplc="F2F8B9A2">
      <w:numFmt w:val="bullet"/>
      <w:lvlText w:val="•"/>
      <w:lvlJc w:val="left"/>
      <w:pPr>
        <w:ind w:left="3847" w:firstLine="0"/>
      </w:pPr>
      <w:rPr>
        <w:lang w:val="pt-PT" w:eastAsia="en-US" w:bidi="ar-SA"/>
      </w:rPr>
    </w:lvl>
    <w:lvl w:ilvl="6" w:tplc="F3D0318C">
      <w:numFmt w:val="bullet"/>
      <w:lvlText w:val="•"/>
      <w:lvlJc w:val="left"/>
      <w:pPr>
        <w:ind w:left="4709" w:firstLine="0"/>
      </w:pPr>
      <w:rPr>
        <w:lang w:val="pt-PT" w:eastAsia="en-US" w:bidi="ar-SA"/>
      </w:rPr>
    </w:lvl>
    <w:lvl w:ilvl="7" w:tplc="55A638B6">
      <w:numFmt w:val="bullet"/>
      <w:lvlText w:val="•"/>
      <w:lvlJc w:val="left"/>
      <w:pPr>
        <w:ind w:left="5571" w:firstLine="0"/>
      </w:pPr>
      <w:rPr>
        <w:lang w:val="pt-PT" w:eastAsia="en-US" w:bidi="ar-SA"/>
      </w:rPr>
    </w:lvl>
    <w:lvl w:ilvl="8" w:tplc="267CAF92">
      <w:numFmt w:val="bullet"/>
      <w:lvlText w:val="•"/>
      <w:lvlJc w:val="left"/>
      <w:pPr>
        <w:ind w:left="6433" w:firstLine="0"/>
      </w:pPr>
      <w:rPr>
        <w:lang w:val="pt-PT" w:eastAsia="en-US" w:bidi="ar-SA"/>
      </w:rPr>
    </w:lvl>
  </w:abstractNum>
  <w:abstractNum w:abstractNumId="1">
    <w:nsid w:val="05D55CF2"/>
    <w:multiLevelType w:val="hybridMultilevel"/>
    <w:tmpl w:val="D4E84054"/>
    <w:lvl w:ilvl="0" w:tplc="53B01450">
      <w:numFmt w:val="none"/>
      <w:lvlText w:val=""/>
      <w:lvlJc w:val="left"/>
      <w:pPr>
        <w:tabs>
          <w:tab w:val="num" w:pos="360"/>
        </w:tabs>
        <w:ind w:left="360" w:hanging="360"/>
      </w:pPr>
    </w:lvl>
    <w:lvl w:ilvl="1" w:tplc="824C350A">
      <w:numFmt w:val="none"/>
      <w:lvlText w:val=""/>
      <w:lvlJc w:val="left"/>
      <w:pPr>
        <w:tabs>
          <w:tab w:val="num" w:pos="360"/>
        </w:tabs>
        <w:ind w:left="360" w:hanging="360"/>
      </w:pPr>
    </w:lvl>
    <w:lvl w:ilvl="2" w:tplc="1D7A5754">
      <w:numFmt w:val="none"/>
      <w:lvlText w:val=""/>
      <w:lvlJc w:val="left"/>
      <w:pPr>
        <w:tabs>
          <w:tab w:val="num" w:pos="360"/>
        </w:tabs>
        <w:ind w:left="360" w:hanging="360"/>
      </w:pPr>
    </w:lvl>
    <w:lvl w:ilvl="3" w:tplc="B2C23AE0">
      <w:numFmt w:val="none"/>
      <w:lvlText w:val=""/>
      <w:lvlJc w:val="left"/>
      <w:pPr>
        <w:tabs>
          <w:tab w:val="num" w:pos="360"/>
        </w:tabs>
        <w:ind w:left="360" w:hanging="360"/>
      </w:pPr>
    </w:lvl>
    <w:lvl w:ilvl="4" w:tplc="FEF23F4E">
      <w:numFmt w:val="none"/>
      <w:lvlText w:val=""/>
      <w:lvlJc w:val="left"/>
      <w:pPr>
        <w:tabs>
          <w:tab w:val="num" w:pos="360"/>
        </w:tabs>
        <w:ind w:left="360" w:hanging="360"/>
      </w:pPr>
    </w:lvl>
    <w:lvl w:ilvl="5" w:tplc="030A0092">
      <w:numFmt w:val="none"/>
      <w:lvlText w:val=""/>
      <w:lvlJc w:val="left"/>
      <w:pPr>
        <w:tabs>
          <w:tab w:val="num" w:pos="360"/>
        </w:tabs>
        <w:ind w:left="360" w:hanging="360"/>
      </w:pPr>
    </w:lvl>
    <w:lvl w:ilvl="6" w:tplc="253493F0">
      <w:numFmt w:val="none"/>
      <w:lvlText w:val=""/>
      <w:lvlJc w:val="left"/>
      <w:pPr>
        <w:tabs>
          <w:tab w:val="num" w:pos="360"/>
        </w:tabs>
        <w:ind w:left="360" w:hanging="360"/>
      </w:pPr>
    </w:lvl>
    <w:lvl w:ilvl="7" w:tplc="FC0AD66A">
      <w:numFmt w:val="none"/>
      <w:lvlText w:val=""/>
      <w:lvlJc w:val="left"/>
      <w:pPr>
        <w:tabs>
          <w:tab w:val="num" w:pos="360"/>
        </w:tabs>
        <w:ind w:left="360" w:hanging="360"/>
      </w:pPr>
    </w:lvl>
    <w:lvl w:ilvl="8" w:tplc="30C8BECE">
      <w:numFmt w:val="none"/>
      <w:lvlText w:val=""/>
      <w:lvlJc w:val="left"/>
      <w:pPr>
        <w:tabs>
          <w:tab w:val="num" w:pos="360"/>
        </w:tabs>
        <w:ind w:left="360" w:hanging="360"/>
      </w:pPr>
    </w:lvl>
  </w:abstractNum>
  <w:abstractNum w:abstractNumId="2">
    <w:nsid w:val="0EE75AF7"/>
    <w:multiLevelType w:val="hybridMultilevel"/>
    <w:tmpl w:val="FBA6B314"/>
    <w:name w:val="Lista numerada 6"/>
    <w:lvl w:ilvl="0" w:tplc="97F060FC">
      <w:start w:val="13"/>
      <w:numFmt w:val="decimal"/>
      <w:lvlText w:val="%1"/>
      <w:lvlJc w:val="left"/>
      <w:pPr>
        <w:ind w:left="-330" w:firstLine="0"/>
      </w:pPr>
      <w:rPr>
        <w:lang w:val="pt-PT" w:eastAsia="en-US" w:bidi="ar-SA"/>
      </w:rPr>
    </w:lvl>
    <w:lvl w:ilvl="1" w:tplc="37BCA22C">
      <w:numFmt w:val="none"/>
      <w:lvlText w:val=""/>
      <w:lvlJc w:val="left"/>
      <w:pPr>
        <w:ind w:left="0" w:firstLine="0"/>
      </w:pPr>
    </w:lvl>
    <w:lvl w:ilvl="2" w:tplc="DA44DF8C">
      <w:numFmt w:val="bullet"/>
      <w:lvlText w:val="•"/>
      <w:lvlJc w:val="left"/>
      <w:pPr>
        <w:ind w:left="1393" w:firstLine="0"/>
      </w:pPr>
      <w:rPr>
        <w:lang w:val="pt-PT" w:eastAsia="en-US" w:bidi="ar-SA"/>
      </w:rPr>
    </w:lvl>
    <w:lvl w:ilvl="3" w:tplc="A37682F6">
      <w:numFmt w:val="bullet"/>
      <w:lvlText w:val="•"/>
      <w:lvlJc w:val="left"/>
      <w:pPr>
        <w:ind w:left="2255" w:firstLine="0"/>
      </w:pPr>
      <w:rPr>
        <w:lang w:val="pt-PT" w:eastAsia="en-US" w:bidi="ar-SA"/>
      </w:rPr>
    </w:lvl>
    <w:lvl w:ilvl="4" w:tplc="91D4E3DC">
      <w:numFmt w:val="bullet"/>
      <w:lvlText w:val="•"/>
      <w:lvlJc w:val="left"/>
      <w:pPr>
        <w:ind w:left="3117" w:firstLine="0"/>
      </w:pPr>
      <w:rPr>
        <w:lang w:val="pt-PT" w:eastAsia="en-US" w:bidi="ar-SA"/>
      </w:rPr>
    </w:lvl>
    <w:lvl w:ilvl="5" w:tplc="ECBC9656">
      <w:numFmt w:val="bullet"/>
      <w:lvlText w:val="•"/>
      <w:lvlJc w:val="left"/>
      <w:pPr>
        <w:ind w:left="3979" w:firstLine="0"/>
      </w:pPr>
      <w:rPr>
        <w:lang w:val="pt-PT" w:eastAsia="en-US" w:bidi="ar-SA"/>
      </w:rPr>
    </w:lvl>
    <w:lvl w:ilvl="6" w:tplc="DAC0A9DE">
      <w:numFmt w:val="bullet"/>
      <w:lvlText w:val="•"/>
      <w:lvlJc w:val="left"/>
      <w:pPr>
        <w:ind w:left="4841" w:firstLine="0"/>
      </w:pPr>
      <w:rPr>
        <w:lang w:val="pt-PT" w:eastAsia="en-US" w:bidi="ar-SA"/>
      </w:rPr>
    </w:lvl>
    <w:lvl w:ilvl="7" w:tplc="4DDEB202">
      <w:numFmt w:val="bullet"/>
      <w:lvlText w:val="•"/>
      <w:lvlJc w:val="left"/>
      <w:pPr>
        <w:ind w:left="5703" w:firstLine="0"/>
      </w:pPr>
      <w:rPr>
        <w:lang w:val="pt-PT" w:eastAsia="en-US" w:bidi="ar-SA"/>
      </w:rPr>
    </w:lvl>
    <w:lvl w:ilvl="8" w:tplc="9130896A">
      <w:numFmt w:val="bullet"/>
      <w:lvlText w:val="•"/>
      <w:lvlJc w:val="left"/>
      <w:pPr>
        <w:ind w:left="6565" w:firstLine="0"/>
      </w:pPr>
      <w:rPr>
        <w:lang w:val="pt-PT" w:eastAsia="en-US" w:bidi="ar-SA"/>
      </w:rPr>
    </w:lvl>
  </w:abstractNum>
  <w:abstractNum w:abstractNumId="3">
    <w:nsid w:val="1381000C"/>
    <w:multiLevelType w:val="hybridMultilevel"/>
    <w:tmpl w:val="DC8EC59A"/>
    <w:name w:val="Lista numerada 8"/>
    <w:lvl w:ilvl="0" w:tplc="276842C2">
      <w:start w:val="11"/>
      <w:numFmt w:val="decimal"/>
      <w:lvlText w:val="%1"/>
      <w:lvlJc w:val="left"/>
      <w:pPr>
        <w:ind w:left="-318" w:firstLine="0"/>
      </w:pPr>
      <w:rPr>
        <w:lang w:val="pt-PT" w:eastAsia="en-US" w:bidi="ar-SA"/>
      </w:rPr>
    </w:lvl>
    <w:lvl w:ilvl="1" w:tplc="6B10C49A">
      <w:numFmt w:val="none"/>
      <w:lvlText w:val=""/>
      <w:lvlJc w:val="left"/>
      <w:pPr>
        <w:ind w:left="0" w:firstLine="0"/>
      </w:pPr>
    </w:lvl>
    <w:lvl w:ilvl="2" w:tplc="D23CCB14">
      <w:numFmt w:val="bullet"/>
      <w:lvlText w:val="•"/>
      <w:lvlJc w:val="left"/>
      <w:pPr>
        <w:ind w:left="1405" w:firstLine="0"/>
      </w:pPr>
      <w:rPr>
        <w:lang w:val="pt-PT" w:eastAsia="en-US" w:bidi="ar-SA"/>
      </w:rPr>
    </w:lvl>
    <w:lvl w:ilvl="3" w:tplc="6B5C014C">
      <w:numFmt w:val="bullet"/>
      <w:lvlText w:val="•"/>
      <w:lvlJc w:val="left"/>
      <w:pPr>
        <w:ind w:left="2267" w:firstLine="0"/>
      </w:pPr>
      <w:rPr>
        <w:lang w:val="pt-PT" w:eastAsia="en-US" w:bidi="ar-SA"/>
      </w:rPr>
    </w:lvl>
    <w:lvl w:ilvl="4" w:tplc="3F46DF6E">
      <w:numFmt w:val="bullet"/>
      <w:lvlText w:val="•"/>
      <w:lvlJc w:val="left"/>
      <w:pPr>
        <w:ind w:left="3129" w:firstLine="0"/>
      </w:pPr>
      <w:rPr>
        <w:lang w:val="pt-PT" w:eastAsia="en-US" w:bidi="ar-SA"/>
      </w:rPr>
    </w:lvl>
    <w:lvl w:ilvl="5" w:tplc="22A474A6">
      <w:numFmt w:val="bullet"/>
      <w:lvlText w:val="•"/>
      <w:lvlJc w:val="left"/>
      <w:pPr>
        <w:ind w:left="3991" w:firstLine="0"/>
      </w:pPr>
      <w:rPr>
        <w:lang w:val="pt-PT" w:eastAsia="en-US" w:bidi="ar-SA"/>
      </w:rPr>
    </w:lvl>
    <w:lvl w:ilvl="6" w:tplc="64242588">
      <w:numFmt w:val="bullet"/>
      <w:lvlText w:val="•"/>
      <w:lvlJc w:val="left"/>
      <w:pPr>
        <w:ind w:left="4853" w:firstLine="0"/>
      </w:pPr>
      <w:rPr>
        <w:lang w:val="pt-PT" w:eastAsia="en-US" w:bidi="ar-SA"/>
      </w:rPr>
    </w:lvl>
    <w:lvl w:ilvl="7" w:tplc="55146DE4">
      <w:numFmt w:val="bullet"/>
      <w:lvlText w:val="•"/>
      <w:lvlJc w:val="left"/>
      <w:pPr>
        <w:ind w:left="5715" w:firstLine="0"/>
      </w:pPr>
      <w:rPr>
        <w:lang w:val="pt-PT" w:eastAsia="en-US" w:bidi="ar-SA"/>
      </w:rPr>
    </w:lvl>
    <w:lvl w:ilvl="8" w:tplc="36721D60">
      <w:numFmt w:val="bullet"/>
      <w:lvlText w:val="•"/>
      <w:lvlJc w:val="left"/>
      <w:pPr>
        <w:ind w:left="6577" w:firstLine="0"/>
      </w:pPr>
      <w:rPr>
        <w:lang w:val="pt-PT" w:eastAsia="en-US" w:bidi="ar-SA"/>
      </w:rPr>
    </w:lvl>
  </w:abstractNum>
  <w:abstractNum w:abstractNumId="4">
    <w:nsid w:val="19FA3F24"/>
    <w:multiLevelType w:val="hybridMultilevel"/>
    <w:tmpl w:val="16CC0E7E"/>
    <w:name w:val="Lista numerada 7"/>
    <w:lvl w:ilvl="0" w:tplc="33B65586">
      <w:start w:val="4"/>
      <w:numFmt w:val="decimal"/>
      <w:lvlText w:val="%1"/>
      <w:lvlJc w:val="left"/>
      <w:pPr>
        <w:ind w:left="-186" w:firstLine="0"/>
      </w:pPr>
      <w:rPr>
        <w:lang w:val="pt-PT" w:eastAsia="en-US" w:bidi="ar-SA"/>
      </w:rPr>
    </w:lvl>
    <w:lvl w:ilvl="1" w:tplc="57582922">
      <w:numFmt w:val="none"/>
      <w:lvlText w:val=""/>
      <w:lvlJc w:val="left"/>
      <w:pPr>
        <w:ind w:left="0" w:firstLine="0"/>
      </w:pPr>
    </w:lvl>
    <w:lvl w:ilvl="2" w:tplc="54F49404">
      <w:numFmt w:val="bullet"/>
      <w:lvlText w:val="•"/>
      <w:lvlJc w:val="left"/>
      <w:pPr>
        <w:ind w:left="1537" w:firstLine="0"/>
      </w:pPr>
      <w:rPr>
        <w:lang w:val="pt-PT" w:eastAsia="en-US" w:bidi="ar-SA"/>
      </w:rPr>
    </w:lvl>
    <w:lvl w:ilvl="3" w:tplc="0848185A">
      <w:numFmt w:val="bullet"/>
      <w:lvlText w:val="•"/>
      <w:lvlJc w:val="left"/>
      <w:pPr>
        <w:ind w:left="2399" w:firstLine="0"/>
      </w:pPr>
      <w:rPr>
        <w:lang w:val="pt-PT" w:eastAsia="en-US" w:bidi="ar-SA"/>
      </w:rPr>
    </w:lvl>
    <w:lvl w:ilvl="4" w:tplc="A8EC0E00">
      <w:numFmt w:val="bullet"/>
      <w:lvlText w:val="•"/>
      <w:lvlJc w:val="left"/>
      <w:pPr>
        <w:ind w:left="3261" w:firstLine="0"/>
      </w:pPr>
      <w:rPr>
        <w:lang w:val="pt-PT" w:eastAsia="en-US" w:bidi="ar-SA"/>
      </w:rPr>
    </w:lvl>
    <w:lvl w:ilvl="5" w:tplc="5050806C">
      <w:numFmt w:val="bullet"/>
      <w:lvlText w:val="•"/>
      <w:lvlJc w:val="left"/>
      <w:pPr>
        <w:ind w:left="4123" w:firstLine="0"/>
      </w:pPr>
      <w:rPr>
        <w:lang w:val="pt-PT" w:eastAsia="en-US" w:bidi="ar-SA"/>
      </w:rPr>
    </w:lvl>
    <w:lvl w:ilvl="6" w:tplc="2294F402">
      <w:numFmt w:val="bullet"/>
      <w:lvlText w:val="•"/>
      <w:lvlJc w:val="left"/>
      <w:pPr>
        <w:ind w:left="4985" w:firstLine="0"/>
      </w:pPr>
      <w:rPr>
        <w:lang w:val="pt-PT" w:eastAsia="en-US" w:bidi="ar-SA"/>
      </w:rPr>
    </w:lvl>
    <w:lvl w:ilvl="7" w:tplc="BBDA1280">
      <w:numFmt w:val="bullet"/>
      <w:lvlText w:val="•"/>
      <w:lvlJc w:val="left"/>
      <w:pPr>
        <w:ind w:left="5847" w:firstLine="0"/>
      </w:pPr>
      <w:rPr>
        <w:lang w:val="pt-PT" w:eastAsia="en-US" w:bidi="ar-SA"/>
      </w:rPr>
    </w:lvl>
    <w:lvl w:ilvl="8" w:tplc="F92CCC74">
      <w:numFmt w:val="bullet"/>
      <w:lvlText w:val="•"/>
      <w:lvlJc w:val="left"/>
      <w:pPr>
        <w:ind w:left="6709" w:firstLine="0"/>
      </w:pPr>
      <w:rPr>
        <w:lang w:val="pt-PT" w:eastAsia="en-US" w:bidi="ar-SA"/>
      </w:rPr>
    </w:lvl>
  </w:abstractNum>
  <w:abstractNum w:abstractNumId="5">
    <w:nsid w:val="3BA97A48"/>
    <w:multiLevelType w:val="hybridMultilevel"/>
    <w:tmpl w:val="D1D2EE2C"/>
    <w:name w:val="Lista numerada 1"/>
    <w:lvl w:ilvl="0" w:tplc="CF12826E">
      <w:start w:val="1"/>
      <w:numFmt w:val="lowerLetter"/>
      <w:lvlText w:val="%1)"/>
      <w:lvlJc w:val="left"/>
      <w:pPr>
        <w:ind w:left="708" w:firstLine="0"/>
      </w:pPr>
    </w:lvl>
    <w:lvl w:ilvl="1" w:tplc="366E9E46">
      <w:start w:val="1"/>
      <w:numFmt w:val="lowerLetter"/>
      <w:lvlText w:val="%2."/>
      <w:lvlJc w:val="left"/>
      <w:pPr>
        <w:ind w:left="1428" w:firstLine="0"/>
      </w:pPr>
    </w:lvl>
    <w:lvl w:ilvl="2" w:tplc="51745EAA">
      <w:start w:val="1"/>
      <w:numFmt w:val="lowerRoman"/>
      <w:lvlText w:val="%3."/>
      <w:lvlJc w:val="left"/>
      <w:pPr>
        <w:ind w:left="2328" w:firstLine="0"/>
      </w:pPr>
    </w:lvl>
    <w:lvl w:ilvl="3" w:tplc="39B8D42C">
      <w:start w:val="1"/>
      <w:numFmt w:val="decimal"/>
      <w:lvlText w:val="%4."/>
      <w:lvlJc w:val="left"/>
      <w:pPr>
        <w:ind w:left="2868" w:firstLine="0"/>
      </w:pPr>
    </w:lvl>
    <w:lvl w:ilvl="4" w:tplc="2876C214">
      <w:start w:val="1"/>
      <w:numFmt w:val="lowerLetter"/>
      <w:lvlText w:val="%5."/>
      <w:lvlJc w:val="left"/>
      <w:pPr>
        <w:ind w:left="3588" w:firstLine="0"/>
      </w:pPr>
    </w:lvl>
    <w:lvl w:ilvl="5" w:tplc="F9B2ED2E">
      <w:start w:val="1"/>
      <w:numFmt w:val="lowerRoman"/>
      <w:lvlText w:val="%6."/>
      <w:lvlJc w:val="left"/>
      <w:pPr>
        <w:ind w:left="4488" w:firstLine="0"/>
      </w:pPr>
    </w:lvl>
    <w:lvl w:ilvl="6" w:tplc="BA9CA8E8">
      <w:start w:val="1"/>
      <w:numFmt w:val="decimal"/>
      <w:lvlText w:val="%7."/>
      <w:lvlJc w:val="left"/>
      <w:pPr>
        <w:ind w:left="5028" w:firstLine="0"/>
      </w:pPr>
    </w:lvl>
    <w:lvl w:ilvl="7" w:tplc="8188E400">
      <w:start w:val="1"/>
      <w:numFmt w:val="lowerLetter"/>
      <w:lvlText w:val="%8."/>
      <w:lvlJc w:val="left"/>
      <w:pPr>
        <w:ind w:left="5748" w:firstLine="0"/>
      </w:pPr>
    </w:lvl>
    <w:lvl w:ilvl="8" w:tplc="4F9A3FCE">
      <w:start w:val="1"/>
      <w:numFmt w:val="lowerRoman"/>
      <w:lvlText w:val="%9."/>
      <w:lvlJc w:val="left"/>
      <w:pPr>
        <w:ind w:left="6648" w:firstLine="0"/>
      </w:pPr>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isplayBackgroundShape/>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2"/>
  </w:compat>
  <w:rsids>
    <w:rsidRoot w:val="00053D39"/>
    <w:rsid w:val="00053D39"/>
    <w:rsid w:val="004467A3"/>
    <w:rsid w:val="005350CF"/>
    <w:rsid w:val="00541B47"/>
    <w:rsid w:val="005552A7"/>
    <w:rsid w:val="005A401C"/>
    <w:rsid w:val="005A5916"/>
    <w:rsid w:val="005A7AB8"/>
    <w:rsid w:val="005B1855"/>
    <w:rsid w:val="005D2A56"/>
    <w:rsid w:val="005F085A"/>
    <w:rsid w:val="00607BF4"/>
    <w:rsid w:val="006A61D2"/>
    <w:rsid w:val="006D7FF2"/>
    <w:rsid w:val="00937645"/>
    <w:rsid w:val="00944BA4"/>
    <w:rsid w:val="00A321C9"/>
    <w:rsid w:val="00A83287"/>
    <w:rsid w:val="00AB084A"/>
    <w:rsid w:val="00B87942"/>
    <w:rsid w:val="00BA2751"/>
    <w:rsid w:val="00BE28C3"/>
    <w:rsid w:val="00C25484"/>
    <w:rsid w:val="00C45E55"/>
    <w:rsid w:val="00C57321"/>
    <w:rsid w:val="00D05452"/>
    <w:rsid w:val="00E2284A"/>
    <w:rsid w:val="00F21A53"/>
    <w:rsid w:val="00F614CE"/>
    <w:rsid w:val="00FB0D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BAF1CC-7A95-45D5-AB00-DBDB0DB4C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D39"/>
  </w:style>
  <w:style w:type="paragraph" w:styleId="Ttulo1">
    <w:name w:val="heading 1"/>
    <w:basedOn w:val="Normal"/>
    <w:next w:val="Normal"/>
    <w:qFormat/>
    <w:rsid w:val="00053D39"/>
    <w:pPr>
      <w:keepNext/>
      <w:spacing w:before="240" w:after="60"/>
      <w:outlineLvl w:val="0"/>
    </w:pPr>
    <w:rPr>
      <w:b/>
      <w:sz w:val="28"/>
      <w:szCs w:val="28"/>
    </w:rPr>
  </w:style>
  <w:style w:type="paragraph" w:styleId="Ttulo2">
    <w:name w:val="heading 2"/>
    <w:basedOn w:val="Normal"/>
    <w:next w:val="Normal"/>
    <w:qFormat/>
    <w:rsid w:val="00053D39"/>
    <w:pPr>
      <w:keepNext/>
      <w:spacing w:before="240" w:after="60"/>
      <w:outlineLvl w:val="1"/>
    </w:pPr>
    <w:rPr>
      <w:rFonts w:ascii="Calibri" w:eastAsia="Calibri" w:hAnsi="Calibri" w:cs="Calibri"/>
      <w:b/>
      <w:i/>
      <w:sz w:val="28"/>
      <w:szCs w:val="28"/>
    </w:rPr>
  </w:style>
  <w:style w:type="paragraph" w:styleId="Ttulo3">
    <w:name w:val="heading 3"/>
    <w:basedOn w:val="Normal"/>
    <w:next w:val="Normal"/>
    <w:qFormat/>
    <w:rsid w:val="00053D39"/>
    <w:pPr>
      <w:keepNext/>
      <w:spacing w:before="240" w:after="60"/>
      <w:outlineLvl w:val="2"/>
    </w:pPr>
    <w:rPr>
      <w:rFonts w:ascii="Calibri" w:eastAsia="Calibri" w:hAnsi="Calibri" w:cs="Calibri"/>
      <w:b/>
      <w:sz w:val="26"/>
      <w:szCs w:val="26"/>
    </w:rPr>
  </w:style>
  <w:style w:type="paragraph" w:styleId="Ttulo4">
    <w:name w:val="heading 4"/>
    <w:basedOn w:val="Normal"/>
    <w:next w:val="Normal"/>
    <w:qFormat/>
    <w:rsid w:val="00053D39"/>
    <w:pPr>
      <w:keepNext/>
      <w:keepLines/>
      <w:spacing w:before="240" w:after="40"/>
      <w:outlineLvl w:val="3"/>
    </w:pPr>
    <w:rPr>
      <w:b/>
      <w:sz w:val="24"/>
      <w:szCs w:val="24"/>
    </w:rPr>
  </w:style>
  <w:style w:type="paragraph" w:styleId="Ttulo5">
    <w:name w:val="heading 5"/>
    <w:basedOn w:val="Normal"/>
    <w:next w:val="Normal"/>
    <w:qFormat/>
    <w:rsid w:val="00053D39"/>
    <w:pPr>
      <w:keepNext/>
      <w:keepLines/>
      <w:spacing w:before="220" w:after="40"/>
      <w:outlineLvl w:val="4"/>
    </w:pPr>
    <w:rPr>
      <w:b/>
    </w:rPr>
  </w:style>
  <w:style w:type="paragraph" w:styleId="Ttulo6">
    <w:name w:val="heading 6"/>
    <w:basedOn w:val="Normal"/>
    <w:next w:val="Normal"/>
    <w:qFormat/>
    <w:rsid w:val="00053D3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qFormat/>
    <w:rsid w:val="00053D39"/>
    <w:pPr>
      <w:keepNext/>
      <w:keepLines/>
      <w:spacing w:before="480" w:after="120"/>
    </w:pPr>
    <w:rPr>
      <w:b/>
      <w:sz w:val="72"/>
      <w:szCs w:val="72"/>
    </w:rPr>
  </w:style>
  <w:style w:type="paragraph" w:styleId="Subttulo">
    <w:name w:val="Subtitle"/>
    <w:basedOn w:val="Normal"/>
    <w:next w:val="Normal"/>
    <w:qFormat/>
    <w:rsid w:val="00053D39"/>
    <w:pPr>
      <w:keepNext/>
      <w:spacing w:before="240" w:after="120"/>
      <w:jc w:val="center"/>
    </w:pPr>
    <w:rPr>
      <w:i/>
      <w:sz w:val="28"/>
      <w:szCs w:val="28"/>
    </w:rPr>
  </w:style>
  <w:style w:type="paragraph" w:styleId="PargrafodaLista">
    <w:name w:val="List Paragraph"/>
    <w:basedOn w:val="Normal"/>
    <w:qFormat/>
    <w:rsid w:val="00053D39"/>
    <w:pPr>
      <w:widowControl w:val="0"/>
      <w:ind w:left="261" w:right="112"/>
      <w:jc w:val="both"/>
    </w:pPr>
    <w:rPr>
      <w:rFonts w:ascii="Times New Roman" w:eastAsia="Times New Roman" w:hAnsi="Times New Roman" w:cs="Times New Roman"/>
      <w:lang w:val="pt-PT" w:eastAsia="en-US"/>
    </w:rPr>
  </w:style>
  <w:style w:type="paragraph" w:styleId="Corpodetexto">
    <w:name w:val="Body Text"/>
    <w:basedOn w:val="Normal"/>
    <w:qFormat/>
    <w:rsid w:val="00053D39"/>
    <w:pPr>
      <w:widowControl w:val="0"/>
      <w:ind w:left="261"/>
      <w:jc w:val="both"/>
    </w:pPr>
    <w:rPr>
      <w:rFonts w:ascii="Times New Roman" w:eastAsia="Times New Roman" w:hAnsi="Times New Roman" w:cs="Times New Roman"/>
      <w:sz w:val="24"/>
      <w:szCs w:val="24"/>
      <w:lang w:val="pt-PT" w:eastAsia="en-US"/>
    </w:rPr>
  </w:style>
  <w:style w:type="table" w:customStyle="1" w:styleId="a">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0">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1">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2">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3">
    <w:basedOn w:val="Tabelanormal"/>
    <w:rsid w:val="00053D39"/>
    <w:tblPr>
      <w:tblStyleRowBandSize w:val="1"/>
      <w:tblStyleColBandSize w:val="1"/>
      <w:tblInd w:w="0" w:type="dxa"/>
      <w:tblCellMar>
        <w:top w:w="0" w:type="dxa"/>
        <w:left w:w="108" w:type="dxa"/>
        <w:bottom w:w="0" w:type="dxa"/>
        <w:right w:w="108" w:type="dxa"/>
      </w:tblCellMar>
    </w:tblPr>
  </w:style>
  <w:style w:type="paragraph" w:styleId="Textodebalo">
    <w:name w:val="Balloon Text"/>
    <w:basedOn w:val="Normal"/>
    <w:link w:val="TextodebaloChar"/>
    <w:uiPriority w:val="99"/>
    <w:rsid w:val="005B1855"/>
    <w:rPr>
      <w:rFonts w:ascii="Tahoma" w:hAnsi="Tahoma" w:cs="Tahoma"/>
      <w:sz w:val="16"/>
      <w:szCs w:val="16"/>
    </w:rPr>
  </w:style>
  <w:style w:type="character" w:customStyle="1" w:styleId="TextodebaloChar">
    <w:name w:val="Texto de balão Char"/>
    <w:basedOn w:val="Fontepargpadro"/>
    <w:link w:val="Textodebalo"/>
    <w:uiPriority w:val="99"/>
    <w:rsid w:val="005B1855"/>
    <w:rPr>
      <w:rFonts w:ascii="Tahoma" w:hAnsi="Tahoma" w:cs="Tahoma"/>
      <w:sz w:val="16"/>
      <w:szCs w:val="16"/>
    </w:rPr>
  </w:style>
  <w:style w:type="paragraph" w:styleId="Cabealho">
    <w:name w:val="header"/>
    <w:basedOn w:val="Normal"/>
    <w:link w:val="CabealhoChar"/>
    <w:uiPriority w:val="99"/>
    <w:rsid w:val="005B1855"/>
    <w:pPr>
      <w:tabs>
        <w:tab w:val="center" w:pos="4252"/>
        <w:tab w:val="right" w:pos="8504"/>
      </w:tabs>
    </w:pPr>
  </w:style>
  <w:style w:type="character" w:customStyle="1" w:styleId="CabealhoChar">
    <w:name w:val="Cabeçalho Char"/>
    <w:basedOn w:val="Fontepargpadro"/>
    <w:link w:val="Cabealho"/>
    <w:uiPriority w:val="99"/>
    <w:rsid w:val="005B1855"/>
  </w:style>
  <w:style w:type="paragraph" w:styleId="Rodap">
    <w:name w:val="footer"/>
    <w:basedOn w:val="Normal"/>
    <w:link w:val="RodapChar"/>
    <w:uiPriority w:val="99"/>
    <w:rsid w:val="005B1855"/>
    <w:pPr>
      <w:tabs>
        <w:tab w:val="center" w:pos="4252"/>
        <w:tab w:val="right" w:pos="8504"/>
      </w:tabs>
    </w:pPr>
  </w:style>
  <w:style w:type="character" w:customStyle="1" w:styleId="RodapChar">
    <w:name w:val="Rodapé Char"/>
    <w:basedOn w:val="Fontepargpadro"/>
    <w:link w:val="Rodap"/>
    <w:uiPriority w:val="99"/>
    <w:rsid w:val="005B1855"/>
  </w:style>
  <w:style w:type="character" w:styleId="Hyperlink">
    <w:name w:val="Hyperlink"/>
    <w:basedOn w:val="Fontepargpadro"/>
    <w:uiPriority w:val="99"/>
    <w:unhideWhenUsed/>
    <w:rsid w:val="006A61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12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1752</Words>
  <Characters>9467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PMSA</dc:creator>
  <cp:keywords/>
  <dc:description/>
  <cp:lastModifiedBy>PMSA</cp:lastModifiedBy>
  <cp:revision>5</cp:revision>
  <cp:lastPrinted>2024-10-30T17:31:00Z</cp:lastPrinted>
  <dcterms:created xsi:type="dcterms:W3CDTF">2026-09-01T13:49:00Z</dcterms:created>
  <dcterms:modified xsi:type="dcterms:W3CDTF">2026-09-04T16:19:00Z</dcterms:modified>
</cp:coreProperties>
</file>