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media/image2.svg" ContentType="image/svg"/>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sz w:val="18"/>
          <w:szCs w:val="18"/>
        </w:rPr>
        <mc:AlternateContent>
          <mc:Choice Requires="wps">
            <w:drawing>
              <wp:anchor distT="14605" distB="14605" distL="14605" distR="14605" simplePos="0" relativeHeight="72" behindDoc="0" locked="0" layoutInCell="1" allowOverlap="1">
                <wp:simplePos x="0" y="0"/>
                <wp:positionH relativeFrom="column">
                  <wp:posOffset>525780</wp:posOffset>
                </wp:positionH>
                <wp:positionV relativeFrom="paragraph">
                  <wp:posOffset>128905</wp:posOffset>
                </wp:positionV>
                <wp:extent cx="5143500" cy="4500880"/>
                <wp:effectExtent l="14605" t="14605" r="14605" b="14605"/>
                <wp:wrapNone/>
                <wp:docPr id="1" name="Forma1"/>
                <a:graphic xmlns:a="http://schemas.openxmlformats.org/drawingml/2006/main">
                  <a:graphicData uri="http://schemas.microsoft.com/office/word/2010/wordprocessingShape">
                    <wps:wsp>
                      <wps:cNvSpPr/>
                      <wps:spPr>
                        <a:xfrm>
                          <a:off x="0" y="0"/>
                          <a:ext cx="5143680" cy="4500720"/>
                        </a:xfrm>
                        <a:prstGeom prst="rect">
                          <a:avLst/>
                        </a:prstGeom>
                        <a:noFill/>
                        <a:ln w="28440">
                          <a:solidFill>
                            <a:srgbClr val="4A7EBB"/>
                          </a:solidFill>
                          <a:round/>
                        </a:ln>
                      </wps:spPr>
                      <wps:style>
                        <a:lnRef idx="0"/>
                        <a:fillRef idx="0"/>
                        <a:effectRef idx="0"/>
                        <a:fontRef idx="minor"/>
                      </wps:style>
                      <wps:bodyPr/>
                    </wps:wsp>
                  </a:graphicData>
                </a:graphic>
              </wp:anchor>
            </w:drawing>
          </mc:Choice>
          <mc:Fallback>
            <w:pict>
              <v:rect id="shape_0" stroked="t" o:allowincell="f" style="position:absolute;margin-left:41.4pt;margin-top:10.15pt;width:404.95pt;height:354.35pt;mso-wrap-style:none;v-text-anchor:middle">
                <v:fill o:detectmouseclick="t" on="false"/>
                <v:stroke color="#4a7ebb" weight="28440" joinstyle="round" endcap="flat"/>
                <w10:wrap type="none"/>
              </v:rect>
            </w:pict>
          </mc:Fallback>
        </mc:AlternateContent>
      </w:r>
    </w:p>
    <w:p>
      <w:pPr>
        <w:pStyle w:val="Normal"/>
        <w:jc w:val="center"/>
        <w:rPr>
          <w:rFonts w:ascii="Gadugi" w:hAnsi="Gadugi" w:cs="Gadugi"/>
          <w:sz w:val="18"/>
          <w:szCs w:val="18"/>
        </w:rPr>
      </w:pPr>
      <w:r>
        <w:rPr>
          <w:rFonts w:cs="Gadugi" w:ascii="Gadugi" w:hAnsi="Gadugi"/>
          <w:sz w:val="18"/>
          <w:szCs w:val="18"/>
        </w:rPr>
      </w:r>
    </w:p>
    <w:p>
      <w:pPr>
        <w:pStyle w:val="Normal"/>
        <w:jc w:val="center"/>
        <w:rPr>
          <w:rFonts w:ascii="Arial" w:hAnsi="Arial" w:cs="Arial"/>
          <w:sz w:val="20"/>
          <w:szCs w:val="20"/>
        </w:rPr>
      </w:pPr>
      <w:r>
        <w:rPr>
          <w:rFonts w:cs="Arial" w:ascii="Arial" w:hAnsi="Arial"/>
          <w:b/>
          <w:bCs/>
          <w:color w:themeColor="text1" w:val="000000"/>
          <w:sz w:val="20"/>
          <w:szCs w:val="20"/>
          <w:u w:val="single"/>
        </w:rPr>
        <w:t>PREGÃO ELETRÔNICO Nº 45/2026</w:t>
      </w:r>
    </w:p>
    <w:p>
      <w:pPr>
        <w:pStyle w:val="Normal"/>
        <w:rPr>
          <w:rFonts w:ascii="Arial" w:hAnsi="Arial" w:cs="Arial"/>
          <w:sz w:val="20"/>
          <w:szCs w:val="20"/>
        </w:rPr>
      </w:pPr>
      <w:r>
        <w:rPr>
          <w:rFonts w:cs="Arial" w:ascii="Arial" w:hAnsi="Arial"/>
          <w:sz w:val="20"/>
          <w:szCs w:val="20"/>
        </w:rPr>
      </w:r>
    </w:p>
    <w:p>
      <w:pPr>
        <w:pStyle w:val="Normal"/>
        <w:spacing w:before="0" w:afterAutospacing="1"/>
        <w:jc w:val="center"/>
        <w:rPr>
          <w:rFonts w:ascii="Arial" w:hAnsi="Arial" w:cs="Arial"/>
          <w:sz w:val="20"/>
          <w:szCs w:val="20"/>
        </w:rPr>
      </w:pPr>
      <w:r>
        <w:rPr>
          <w:rFonts w:cs="Arial" w:ascii="Arial" w:hAnsi="Arial"/>
          <w:b/>
          <w:bCs/>
          <w:color w:themeColor="text1" w:val="000000"/>
          <w:sz w:val="20"/>
          <w:szCs w:val="20"/>
        </w:rPr>
        <w:t>OBJETO</w:t>
      </w:r>
    </w:p>
    <w:p>
      <w:pPr>
        <w:pStyle w:val="Normal"/>
        <w:spacing w:before="0" w:afterAutospacing="1"/>
        <w:ind w:left="1276" w:right="851"/>
        <w:jc w:val="center"/>
        <w:rPr>
          <w:rFonts w:ascii="Arial" w:hAnsi="Arial" w:cs="Arial"/>
          <w:sz w:val="20"/>
          <w:szCs w:val="20"/>
        </w:rPr>
      </w:pPr>
      <w:r>
        <w:rPr>
          <w:rFonts w:cs="Arial" w:ascii="Arial" w:hAnsi="Arial"/>
          <w:sz w:val="20"/>
          <w:szCs w:val="20"/>
        </w:rPr>
        <w:t>CONTRATAÇÃO DE SERVIÇOS PROFISSIONAIS PARA REALIZAÇÃO DO TRANSPORTE ESCOLAR</w:t>
      </w:r>
    </w:p>
    <w:p>
      <w:pPr>
        <w:pStyle w:val="Normal"/>
        <w:jc w:val="center"/>
        <w:rPr>
          <w:rFonts w:ascii="Arial" w:hAnsi="Arial" w:cs="Arial"/>
          <w:sz w:val="20"/>
          <w:szCs w:val="20"/>
        </w:rPr>
      </w:pPr>
      <w:r>
        <w:rPr>
          <w:rFonts w:cs="Arial" w:ascii="Arial" w:hAnsi="Arial"/>
          <w:b/>
          <w:bCs/>
          <w:color w:themeColor="text1" w:val="000000"/>
          <w:sz w:val="20"/>
          <w:szCs w:val="20"/>
        </w:rPr>
        <w:t>VALOR TOTAL DA CONTRATAÇÃO</w:t>
      </w:r>
    </w:p>
    <w:p>
      <w:pPr>
        <w:pStyle w:val="Normal"/>
        <w:jc w:val="center"/>
        <w:rPr>
          <w:rFonts w:ascii="Arial" w:hAnsi="Arial" w:cs="Arial"/>
          <w:color w:val="000000"/>
          <w:sz w:val="20"/>
          <w:szCs w:val="20"/>
        </w:rPr>
      </w:pPr>
      <w:r>
        <w:rPr>
          <w:rFonts w:cs="Arial" w:ascii="Arial" w:hAnsi="Arial"/>
          <w:color w:val="000000"/>
          <w:sz w:val="20"/>
          <w:szCs w:val="20"/>
        </w:rPr>
        <w:t>R$ 729.400,00</w:t>
      </w:r>
    </w:p>
    <w:p>
      <w:pPr>
        <w:pStyle w:val="Normal"/>
        <w:jc w:val="center"/>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b/>
          <w:bCs/>
          <w:color w:themeColor="text1" w:val="000000"/>
          <w:sz w:val="20"/>
          <w:szCs w:val="20"/>
        </w:rPr>
        <w:t>DATA DA SESSÃO PÚBLICA</w:t>
      </w:r>
    </w:p>
    <w:p>
      <w:pPr>
        <w:pStyle w:val="Normal"/>
        <w:jc w:val="center"/>
        <w:rPr>
          <w:rFonts w:ascii="Arial" w:hAnsi="Arial" w:cs="Arial"/>
          <w:sz w:val="20"/>
          <w:szCs w:val="20"/>
        </w:rPr>
      </w:pPr>
      <w:r>
        <w:rPr>
          <w:rFonts w:cs="Arial" w:ascii="Arial" w:hAnsi="Arial"/>
          <w:b/>
          <w:bCs/>
          <w:color w:themeColor="text1" w:val="000000"/>
          <w:sz w:val="20"/>
          <w:szCs w:val="20"/>
        </w:rPr>
        <w:t>Dia 2</w:t>
      </w:r>
      <w:r>
        <w:rPr>
          <w:rFonts w:cs="Arial" w:ascii="Arial" w:hAnsi="Arial"/>
          <w:b/>
          <w:bCs/>
          <w:color w:themeColor="text1" w:val="000000"/>
          <w:sz w:val="20"/>
          <w:szCs w:val="20"/>
        </w:rPr>
        <w:t>7</w:t>
      </w:r>
      <w:r>
        <w:rPr>
          <w:rFonts w:cs="Arial" w:ascii="Arial" w:hAnsi="Arial"/>
          <w:b/>
          <w:bCs/>
          <w:color w:themeColor="text1" w:val="000000"/>
          <w:sz w:val="20"/>
          <w:szCs w:val="20"/>
        </w:rPr>
        <w:t xml:space="preserve">/07/2026 </w:t>
      </w:r>
      <w:r>
        <w:rPr>
          <w:rFonts w:cs="Arial" w:ascii="Arial" w:hAnsi="Arial"/>
          <w:color w:themeColor="text1" w:val="000000"/>
          <w:sz w:val="20"/>
          <w:szCs w:val="20"/>
        </w:rPr>
        <w:t xml:space="preserve">às </w:t>
      </w:r>
      <w:r>
        <w:rPr>
          <w:rFonts w:cs="Arial" w:ascii="Arial" w:hAnsi="Arial"/>
          <w:b/>
          <w:bCs/>
          <w:color w:themeColor="text1" w:val="000000"/>
          <w:sz w:val="20"/>
          <w:szCs w:val="20"/>
        </w:rPr>
        <w:t>08h (horário de Brasília)</w:t>
      </w:r>
    </w:p>
    <w:p>
      <w:pPr>
        <w:pStyle w:val="Normal"/>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b/>
          <w:bCs/>
          <w:caps/>
          <w:color w:themeColor="text1" w:val="000000"/>
          <w:sz w:val="20"/>
          <w:szCs w:val="20"/>
        </w:rPr>
        <w:t>Critério de Julgamento:</w:t>
      </w:r>
    </w:p>
    <w:p>
      <w:pPr>
        <w:pStyle w:val="Normal"/>
        <w:jc w:val="center"/>
        <w:rPr>
          <w:rFonts w:ascii="Arial" w:hAnsi="Arial" w:cs="Arial"/>
          <w:color w:themeColor="text1" w:val="000000"/>
          <w:sz w:val="20"/>
          <w:szCs w:val="20"/>
        </w:rPr>
      </w:pPr>
      <w:r>
        <w:rPr>
          <w:rFonts w:cs="Arial" w:ascii="Arial" w:hAnsi="Arial"/>
          <w:color w:themeColor="text1" w:val="000000"/>
          <w:sz w:val="20"/>
          <w:szCs w:val="20"/>
        </w:rPr>
        <w:t>Menor Preço POR ITEM (LINHA)</w:t>
      </w:r>
    </w:p>
    <w:p>
      <w:pPr>
        <w:pStyle w:val="Normal"/>
        <w:jc w:val="center"/>
        <w:rPr>
          <w:rFonts w:ascii="Arial" w:hAnsi="Arial" w:cs="Arial"/>
          <w:sz w:val="20"/>
          <w:szCs w:val="20"/>
        </w:rPr>
      </w:pPr>
      <w:r>
        <w:rPr>
          <w:rFonts w:cs="Arial" w:ascii="Arial" w:hAnsi="Arial"/>
          <w:color w:themeColor="text1" w:val="000000"/>
          <w:sz w:val="20"/>
          <w:szCs w:val="20"/>
        </w:rPr>
        <w:t>Considerando o KM Rodado</w:t>
      </w:r>
    </w:p>
    <w:p>
      <w:pPr>
        <w:pStyle w:val="Normal"/>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b/>
          <w:bCs/>
          <w:caps/>
          <w:color w:themeColor="text1" w:val="000000"/>
          <w:sz w:val="20"/>
          <w:szCs w:val="20"/>
        </w:rPr>
        <w:t>Modo de disputa:</w:t>
      </w:r>
    </w:p>
    <w:p>
      <w:pPr>
        <w:pStyle w:val="Normal"/>
        <w:jc w:val="center"/>
        <w:rPr>
          <w:rFonts w:ascii="Arial" w:hAnsi="Arial" w:cs="Arial"/>
          <w:sz w:val="20"/>
          <w:szCs w:val="20"/>
        </w:rPr>
      </w:pPr>
      <w:r>
        <w:rPr>
          <w:rFonts w:cs="Arial" w:ascii="Arial" w:hAnsi="Arial"/>
          <w:color w:themeColor="text1" w:val="000000"/>
          <w:sz w:val="20"/>
          <w:szCs w:val="20"/>
        </w:rPr>
        <w:t>Aberto</w:t>
      </w:r>
    </w:p>
    <w:p>
      <w:pPr>
        <w:pStyle w:val="Normal"/>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b/>
          <w:bCs/>
          <w:sz w:val="20"/>
          <w:szCs w:val="20"/>
        </w:rPr>
        <w:t>PLATAFORMA:</w:t>
      </w:r>
    </w:p>
    <w:p>
      <w:pPr>
        <w:pStyle w:val="Normal"/>
        <w:jc w:val="center"/>
        <w:rPr>
          <w:rFonts w:ascii="Arial" w:hAnsi="Arial" w:cs="Arial"/>
          <w:sz w:val="20"/>
          <w:szCs w:val="20"/>
        </w:rPr>
      </w:pPr>
      <w:hyperlink r:id="rId2" w:tooltip="https://pregaobanrisul.com.br/">
        <w:r>
          <w:rPr>
            <w:rStyle w:val="Style"/>
            <w:rFonts w:cs="Arial" w:ascii="Arial" w:hAnsi="Arial"/>
            <w:color w:themeColor="hyperlink" w:val="0000FF"/>
            <w:sz w:val="20"/>
            <w:szCs w:val="20"/>
            <w:u w:val="single"/>
          </w:rPr>
          <w:t>https://pregaobanrisul.com.br/</w:t>
        </w:r>
      </w:hyperlink>
    </w:p>
    <w:p>
      <w:pPr>
        <w:pStyle w:val="Normal"/>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b/>
          <w:bCs/>
          <w:sz w:val="20"/>
          <w:szCs w:val="20"/>
        </w:rPr>
        <w:t xml:space="preserve">PREGOEIRA </w:t>
      </w:r>
    </w:p>
    <w:p>
      <w:pPr>
        <w:pStyle w:val="Normal"/>
        <w:jc w:val="center"/>
        <w:rPr>
          <w:rFonts w:ascii="Arial" w:hAnsi="Arial" w:cs="Arial"/>
          <w:sz w:val="20"/>
          <w:szCs w:val="20"/>
        </w:rPr>
      </w:pPr>
      <w:r>
        <w:rPr>
          <w:rFonts w:cs="Arial" w:ascii="Arial" w:hAnsi="Arial"/>
          <w:sz w:val="20"/>
          <w:szCs w:val="20"/>
        </w:rPr>
        <w:t>CAROLINA DA COSTA VIANNA</w:t>
      </w:r>
    </w:p>
    <w:p>
      <w:pPr>
        <w:pStyle w:val="Normal"/>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b/>
          <w:bCs/>
          <w:color w:themeColor="text1" w:val="000000"/>
          <w:sz w:val="20"/>
          <w:szCs w:val="20"/>
        </w:rPr>
        <w:t>TRATAMENTO ME/EPP/EQUIPARADAS</w:t>
      </w:r>
    </w:p>
    <w:p>
      <w:pPr>
        <w:pStyle w:val="Normal"/>
        <w:jc w:val="center"/>
        <w:rPr>
          <w:rFonts w:ascii="Arial" w:hAnsi="Arial" w:cs="Arial"/>
          <w:sz w:val="20"/>
          <w:szCs w:val="20"/>
        </w:rPr>
      </w:pPr>
      <w:r>
        <w:rPr>
          <w:rFonts w:cs="Arial" w:ascii="Arial" w:hAnsi="Arial"/>
          <w:b/>
          <w:bCs/>
          <w:color w:themeColor="text1" w:val="000000"/>
          <w:sz w:val="20"/>
          <w:szCs w:val="20"/>
        </w:rPr>
        <w:t>AMPLA CONCORRÊNCIA (ITENS 1 e 2)</w:t>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ind w:firstLine="567"/>
        <w:jc w:val="center"/>
        <w:rPr>
          <w:rFonts w:ascii="Gadugi" w:hAnsi="Gadugi" w:cs="Gadugi"/>
          <w:b/>
          <w:color w:val="000000"/>
          <w:sz w:val="18"/>
          <w:szCs w:val="18"/>
        </w:rPr>
      </w:pPr>
      <w:r>
        <w:rPr>
          <w:rFonts w:cs="Gadugi" w:ascii="Gadugi" w:hAnsi="Gadugi"/>
          <w:b/>
          <w:color w:val="000000"/>
          <w:sz w:val="18"/>
          <w:szCs w:val="18"/>
        </w:rPr>
      </w:r>
    </w:p>
    <w:p>
      <w:pPr>
        <w:pStyle w:val="Normal"/>
        <w:ind w:firstLine="567"/>
        <w:jc w:val="center"/>
        <w:rPr>
          <w:rFonts w:ascii="Arial" w:hAnsi="Arial" w:cs="Arial"/>
          <w:b/>
          <w:bCs/>
          <w:color w:val="000000"/>
          <w:sz w:val="18"/>
          <w:szCs w:val="18"/>
        </w:rPr>
      </w:pPr>
      <w:r>
        <w:rPr>
          <w:rFonts w:cs="Arial" w:ascii="Arial" w:hAnsi="Arial"/>
          <w:b/>
          <w:color w:val="000000"/>
          <w:sz w:val="18"/>
          <w:szCs w:val="18"/>
        </w:rPr>
        <w:t>PREFEITURA MUNICIPAL DE SANTA BÁRBARA DO SUL/RS</w:t>
      </w:r>
    </w:p>
    <w:p>
      <w:pPr>
        <w:pStyle w:val="Normal"/>
        <w:ind w:firstLine="567"/>
        <w:jc w:val="center"/>
        <w:rPr>
          <w:rFonts w:ascii="Arial" w:hAnsi="Arial" w:cs="Arial"/>
          <w:b/>
          <w:color w:val="000000"/>
          <w:sz w:val="18"/>
          <w:szCs w:val="18"/>
        </w:rPr>
      </w:pPr>
      <w:r>
        <w:rPr>
          <w:rFonts w:cs="Arial" w:ascii="Arial" w:hAnsi="Arial"/>
          <w:b/>
          <w:color w:val="000000"/>
          <w:sz w:val="18"/>
          <w:szCs w:val="18"/>
        </w:rPr>
        <w:t>PREGÃO ELETRÔNICO Nº 45/2026.</w:t>
      </w:r>
    </w:p>
    <w:p>
      <w:pPr>
        <w:pStyle w:val="Normal"/>
        <w:ind w:firstLine="567"/>
        <w:jc w:val="center"/>
        <w:rPr>
          <w:rFonts w:ascii="Arial" w:hAnsi="Arial" w:cs="Arial"/>
          <w:bCs/>
          <w:color w:val="000000"/>
          <w:sz w:val="18"/>
          <w:szCs w:val="18"/>
        </w:rPr>
      </w:pPr>
      <w:r>
        <w:rPr>
          <w:rFonts w:cs="Arial" w:ascii="Arial" w:hAnsi="Arial"/>
          <w:color w:val="000000"/>
          <w:sz w:val="18"/>
          <w:szCs w:val="18"/>
        </w:rPr>
        <w:t>(Processo Administrativo n</w:t>
      </w:r>
      <w:r>
        <w:rPr>
          <w:rFonts w:cs="Arial" w:ascii="Arial" w:hAnsi="Arial"/>
          <w:bCs/>
          <w:color w:val="000000"/>
          <w:sz w:val="18"/>
          <w:szCs w:val="18"/>
        </w:rPr>
        <w:t>° 141/2026)</w:t>
      </w:r>
    </w:p>
    <w:p>
      <w:pPr>
        <w:pStyle w:val="Normal"/>
        <w:ind w:firstLine="567"/>
        <w:jc w:val="center"/>
        <w:rPr>
          <w:rFonts w:ascii="Arial" w:hAnsi="Arial" w:cs="Arial"/>
          <w:bCs/>
          <w:color w:val="000000"/>
          <w:sz w:val="18"/>
          <w:szCs w:val="18"/>
        </w:rPr>
      </w:pPr>
      <w:r>
        <w:rPr>
          <w:rFonts w:cs="Arial" w:ascii="Arial" w:hAnsi="Arial"/>
          <w:bCs/>
          <w:color w:val="000000"/>
          <w:sz w:val="18"/>
          <w:szCs w:val="18"/>
        </w:rPr>
      </w:r>
    </w:p>
    <w:p>
      <w:pPr>
        <w:pStyle w:val="Normal"/>
        <w:ind w:firstLine="567"/>
        <w:jc w:val="both"/>
        <w:rPr>
          <w:rFonts w:ascii="Arial" w:hAnsi="Arial" w:cs="Arial"/>
          <w:b/>
          <w:color w:val="000000"/>
          <w:sz w:val="18"/>
          <w:szCs w:val="18"/>
        </w:rPr>
      </w:pPr>
      <w:r>
        <w:rPr>
          <w:rFonts w:cs="Arial" w:ascii="Arial" w:hAnsi="Arial"/>
          <w:b/>
          <w:color w:val="000000"/>
          <w:sz w:val="18"/>
          <w:szCs w:val="18"/>
        </w:rPr>
      </w:r>
    </w:p>
    <w:p>
      <w:pPr>
        <w:pStyle w:val="Nivel2"/>
        <w:numPr>
          <w:ilvl w:val="0"/>
          <w:numId w:val="0"/>
        </w:numPr>
        <w:spacing w:lineRule="auto" w:line="240" w:before="0" w:after="0"/>
        <w:ind w:firstLine="709" w:left="0"/>
        <w:rPr>
          <w:sz w:val="18"/>
          <w:szCs w:val="18"/>
        </w:rPr>
      </w:pPr>
      <w:r>
        <w:rPr>
          <w:color w:val="auto"/>
          <w:sz w:val="18"/>
          <w:szCs w:val="18"/>
        </w:rPr>
        <w:t xml:space="preserve">A Prefeitura Municipal de Santa Bárbara do Sul, Estado do Rio Grande do Sul, por intermédio do Setor de Licitações, sediado na Avenida Eduardo de Britto, nº 101, Bairro Cerutti, Santa Bárbara do Sul/RS, CEP 98.240-000, torna público que realizará licitação, na modalidade </w:t>
      </w:r>
      <w:r>
        <w:rPr>
          <w:b/>
          <w:bCs/>
          <w:color w:val="auto"/>
          <w:sz w:val="18"/>
          <w:szCs w:val="18"/>
        </w:rPr>
        <w:t>PREGÃO</w:t>
      </w:r>
      <w:r>
        <w:rPr>
          <w:color w:val="auto"/>
          <w:sz w:val="18"/>
          <w:szCs w:val="18"/>
        </w:rPr>
        <w:t xml:space="preserve">, na forma </w:t>
      </w:r>
      <w:r>
        <w:rPr>
          <w:b/>
          <w:bCs/>
          <w:color w:val="auto"/>
          <w:sz w:val="18"/>
          <w:szCs w:val="18"/>
        </w:rPr>
        <w:t>ELETRÔNICA</w:t>
      </w:r>
      <w:r>
        <w:rPr>
          <w:color w:val="auto"/>
          <w:sz w:val="18"/>
          <w:szCs w:val="18"/>
        </w:rPr>
        <w:t xml:space="preserve">, pelo critério de julgamento </w:t>
      </w:r>
      <w:r>
        <w:rPr>
          <w:b/>
          <w:bCs/>
          <w:color w:val="auto"/>
          <w:sz w:val="18"/>
          <w:szCs w:val="18"/>
        </w:rPr>
        <w:t>MENOR PREÇO POR ITEM (LINHA), CONSIDERANDO O VALOR DO QUILÔMETRO RODADO</w:t>
      </w:r>
      <w:r>
        <w:rPr>
          <w:color w:val="auto"/>
          <w:sz w:val="18"/>
          <w:szCs w:val="18"/>
        </w:rPr>
        <w:t>, objetivando a contratação de empresa especializada para prestação de serviços contínuos de transporte escolar, em conformidade com as condições estabelecidas neste Edital.</w:t>
      </w:r>
      <w:bookmarkStart w:id="0" w:name="_Toc135469223"/>
    </w:p>
    <w:p>
      <w:pPr>
        <w:pStyle w:val="Nivel2"/>
        <w:numPr>
          <w:ilvl w:val="0"/>
          <w:numId w:val="0"/>
        </w:numPr>
        <w:spacing w:lineRule="auto" w:line="240" w:before="0" w:after="0"/>
        <w:ind w:firstLine="709" w:left="0"/>
        <w:rPr>
          <w:sz w:val="18"/>
          <w:szCs w:val="18"/>
        </w:rPr>
      </w:pPr>
      <w:r>
        <w:rPr>
          <w:sz w:val="18"/>
          <w:szCs w:val="18"/>
        </w:rPr>
        <w:t xml:space="preserve">A licitação será realizada em conformidade com a </w:t>
      </w:r>
      <w:r>
        <w:rPr>
          <w:b/>
          <w:bCs/>
          <w:sz w:val="18"/>
          <w:szCs w:val="18"/>
        </w:rPr>
        <w:t>Lei Federal nº 14.133, de 1º de abril de 2021</w:t>
      </w:r>
      <w:r>
        <w:rPr>
          <w:sz w:val="18"/>
          <w:szCs w:val="18"/>
        </w:rPr>
        <w:t xml:space="preserve">, </w:t>
      </w:r>
      <w:r>
        <w:rPr>
          <w:b/>
          <w:bCs/>
          <w:sz w:val="18"/>
          <w:szCs w:val="18"/>
        </w:rPr>
        <w:t>Lei Complementar nº 123, de 14 de dezembro de 2006</w:t>
      </w:r>
      <w:r>
        <w:rPr>
          <w:sz w:val="18"/>
          <w:szCs w:val="18"/>
        </w:rPr>
        <w:t xml:space="preserve">, </w:t>
      </w:r>
      <w:r>
        <w:rPr>
          <w:b/>
          <w:bCs/>
          <w:sz w:val="18"/>
          <w:szCs w:val="18"/>
        </w:rPr>
        <w:t>Lei Complementar nº 147/2014</w:t>
      </w:r>
      <w:r>
        <w:rPr>
          <w:sz w:val="18"/>
          <w:szCs w:val="18"/>
        </w:rPr>
        <w:t xml:space="preserve">, </w:t>
      </w:r>
      <w:r>
        <w:rPr>
          <w:b/>
          <w:bCs/>
          <w:sz w:val="18"/>
          <w:szCs w:val="18"/>
        </w:rPr>
        <w:t>Lei Complementar nº 155/2016</w:t>
      </w:r>
      <w:r>
        <w:rPr>
          <w:sz w:val="18"/>
          <w:szCs w:val="18"/>
        </w:rPr>
        <w:t xml:space="preserve">, </w:t>
      </w:r>
      <w:r>
        <w:rPr>
          <w:b/>
          <w:bCs/>
          <w:sz w:val="18"/>
          <w:szCs w:val="18"/>
        </w:rPr>
        <w:t>Decreto Municipal nº 5.456/2023</w:t>
      </w:r>
      <w:r>
        <w:rPr>
          <w:sz w:val="18"/>
          <w:szCs w:val="18"/>
        </w:rPr>
        <w:t xml:space="preserve"> e demais normas aplicáveis à espécie, observadas ainda as disposições do Código de Trânsito Brasileiro, das Resoluções do CONTRAN, da legislação educacional pertinente e demais normas relativas ao transporte escolar.</w:t>
      </w:r>
    </w:p>
    <w:p>
      <w:pPr>
        <w:pStyle w:val="Nivel2"/>
        <w:numPr>
          <w:ilvl w:val="0"/>
          <w:numId w:val="0"/>
        </w:numPr>
        <w:spacing w:lineRule="auto" w:line="240" w:before="0" w:after="0"/>
        <w:ind w:firstLine="709" w:left="0"/>
        <w:rPr>
          <w:sz w:val="18"/>
          <w:szCs w:val="18"/>
        </w:rPr>
      </w:pPr>
      <w:r>
        <w:rPr>
          <w:sz w:val="18"/>
          <w:szCs w:val="18"/>
        </w:rPr>
      </w:r>
    </w:p>
    <w:p>
      <w:pPr>
        <w:pStyle w:val="Nivel2"/>
        <w:numPr>
          <w:ilvl w:val="0"/>
          <w:numId w:val="14"/>
        </w:numPr>
        <w:spacing w:lineRule="auto" w:line="240" w:before="0" w:after="0"/>
        <w:ind w:hanging="360" w:left="426"/>
        <w:rPr>
          <w:b/>
          <w:bCs/>
          <w:sz w:val="18"/>
          <w:szCs w:val="18"/>
        </w:rPr>
      </w:pPr>
      <w:r>
        <w:rPr>
          <w:b/>
          <w:bCs/>
          <w:sz w:val="18"/>
          <w:szCs w:val="18"/>
          <w:lang w:eastAsia="en-US"/>
        </w:rPr>
        <w:t>DO OBJETO</w:t>
      </w:r>
      <w:bookmarkEnd w:id="0"/>
    </w:p>
    <w:p>
      <w:pPr>
        <w:pStyle w:val="pdq2pgselectionanchorcontainer"/>
        <w:spacing w:beforeAutospacing="0" w:before="0" w:afterAutospacing="0" w:after="0"/>
        <w:ind w:left="720"/>
        <w:jc w:val="both"/>
        <w:rPr>
          <w:rFonts w:ascii="Arial" w:hAnsi="Arial" w:cs="Arial"/>
          <w:sz w:val="18"/>
          <w:szCs w:val="18"/>
        </w:rPr>
      </w:pPr>
      <w:r>
        <w:rPr>
          <w:rFonts w:cs="Arial" w:ascii="Arial" w:hAnsi="Arial"/>
          <w:sz w:val="18"/>
          <w:szCs w:val="18"/>
        </w:rPr>
        <w:t xml:space="preserve">1.1 Constitui objeto da presente licitação a </w:t>
      </w:r>
      <w:r>
        <w:rPr>
          <w:rStyle w:val="Strong"/>
          <w:rFonts w:eastAsia="Arial" w:cs="Arial" w:ascii="Arial" w:hAnsi="Arial"/>
          <w:sz w:val="18"/>
          <w:szCs w:val="18"/>
        </w:rPr>
        <w:t>contratação de empresa especializada para prestação de serviços contínuos de transporte escolar</w:t>
      </w:r>
      <w:r>
        <w:rPr>
          <w:rFonts w:cs="Arial" w:ascii="Arial" w:hAnsi="Arial"/>
          <w:sz w:val="18"/>
          <w:szCs w:val="18"/>
        </w:rPr>
        <w:t>, mediante disponibilização de veículos e motoristas devidamente habilitados, destinados ao transporte dos alunos matriculados na Rede Pública Municipal e Estadual de Ensino do Município de Santa Bárbara do Sul/RS, conforme itinerários, quilometragens estimadas, calendário escolar, especificações técnicas, condições operacionais e demais exigências estabelecidas neste Edital, no Termo de Referência e demais anexos.</w:t>
      </w:r>
    </w:p>
    <w:p>
      <w:pPr>
        <w:pStyle w:val="Heading3"/>
        <w:spacing w:before="0" w:after="0"/>
        <w:ind w:left="1429"/>
        <w:jc w:val="both"/>
        <w:rPr>
          <w:rFonts w:ascii="Arial" w:hAnsi="Arial" w:cs="Arial"/>
          <w:sz w:val="18"/>
          <w:szCs w:val="18"/>
        </w:rPr>
      </w:pPr>
      <w:r>
        <w:rPr>
          <w:rFonts w:cs="Arial" w:ascii="Arial" w:hAnsi="Arial"/>
          <w:sz w:val="18"/>
          <w:szCs w:val="18"/>
        </w:rPr>
      </w:r>
    </w:p>
    <w:p>
      <w:pPr>
        <w:pStyle w:val="NormalWeb"/>
        <w:numPr>
          <w:ilvl w:val="1"/>
          <w:numId w:val="14"/>
        </w:numPr>
        <w:spacing w:beforeAutospacing="0" w:before="0" w:afterAutospacing="0" w:after="0"/>
        <w:jc w:val="both"/>
        <w:rPr>
          <w:rFonts w:ascii="Arial" w:hAnsi="Arial" w:cs="Arial"/>
          <w:sz w:val="18"/>
          <w:szCs w:val="18"/>
        </w:rPr>
      </w:pPr>
      <w:r>
        <w:rPr>
          <w:rFonts w:cs="Arial" w:ascii="Arial" w:hAnsi="Arial"/>
          <w:sz w:val="18"/>
          <w:szCs w:val="18"/>
        </w:rPr>
        <w:t>Os serviços compreenderão a execução das linhas constantes do Termo de Referência, abrangendo o transporte diário dos estudantes durante os dias letivos definidos no calendário escolar, inclusive quando houver atividades escolares autorizadas pela Secretaria Municipal de Educação.</w:t>
      </w:r>
    </w:p>
    <w:p>
      <w:pPr>
        <w:pStyle w:val="NormalWeb"/>
        <w:numPr>
          <w:ilvl w:val="1"/>
          <w:numId w:val="14"/>
        </w:numPr>
        <w:spacing w:beforeAutospacing="0" w:before="0" w:afterAutospacing="0" w:after="0"/>
        <w:jc w:val="both"/>
        <w:rPr>
          <w:rFonts w:ascii="Arial" w:hAnsi="Arial" w:cs="Arial"/>
          <w:sz w:val="18"/>
          <w:szCs w:val="18"/>
        </w:rPr>
      </w:pPr>
      <w:r>
        <w:rPr>
          <w:rFonts w:cs="Arial" w:ascii="Arial" w:hAnsi="Arial"/>
          <w:sz w:val="18"/>
          <w:szCs w:val="18"/>
        </w:rPr>
        <w:t>A quilometragem prevista para cada linha possui caráter estimativo, podendo sofrer acréscimos ou reduções decorrentes de alterações no número de alunos, mudanças de itinerário, inclusão ou exclusão de pontos de embarque e desembarque, adequações do calendário escolar ou outras necessidades devidamente justificadas pela Administração, observados os limites e condições previstos na Lei nº 14.133/2021.</w:t>
      </w:r>
    </w:p>
    <w:p>
      <w:pPr>
        <w:pStyle w:val="Heading3"/>
        <w:spacing w:before="0" w:after="0"/>
        <w:ind w:left="1069"/>
        <w:jc w:val="both"/>
        <w:rPr>
          <w:rFonts w:ascii="Arial" w:hAnsi="Arial" w:cs="Arial"/>
          <w:sz w:val="18"/>
          <w:szCs w:val="18"/>
        </w:rPr>
      </w:pPr>
      <w:r>
        <w:rPr>
          <w:rFonts w:cs="Arial" w:ascii="Arial" w:hAnsi="Arial"/>
          <w:sz w:val="18"/>
          <w:szCs w:val="18"/>
        </w:rPr>
        <w:t>1.4 A execução dos serviços deverá observar rigorosamente:</w:t>
      </w:r>
    </w:p>
    <w:p>
      <w:pPr>
        <w:pStyle w:val="NormalWeb"/>
        <w:spacing w:beforeAutospacing="0" w:before="0" w:afterAutospacing="0" w:after="0"/>
        <w:ind w:left="1069"/>
        <w:jc w:val="both"/>
        <w:rPr>
          <w:rFonts w:ascii="Arial" w:hAnsi="Arial" w:cs="Arial"/>
          <w:sz w:val="18"/>
          <w:szCs w:val="18"/>
        </w:rPr>
      </w:pPr>
      <w:r>
        <w:rPr>
          <w:rFonts w:cs="Arial" w:ascii="Arial" w:hAnsi="Arial"/>
          <w:sz w:val="18"/>
          <w:szCs w:val="18"/>
        </w:rPr>
        <w:t>I – o Termo de Referência;</w:t>
      </w:r>
    </w:p>
    <w:p>
      <w:pPr>
        <w:pStyle w:val="NormalWeb"/>
        <w:spacing w:beforeAutospacing="0" w:before="0" w:afterAutospacing="0" w:after="0"/>
        <w:ind w:left="1069"/>
        <w:jc w:val="both"/>
        <w:rPr>
          <w:rFonts w:ascii="Arial" w:hAnsi="Arial" w:cs="Arial"/>
          <w:sz w:val="18"/>
          <w:szCs w:val="18"/>
        </w:rPr>
      </w:pPr>
      <w:r>
        <w:rPr>
          <w:rFonts w:cs="Arial" w:ascii="Arial" w:hAnsi="Arial"/>
          <w:sz w:val="18"/>
          <w:szCs w:val="18"/>
        </w:rPr>
        <w:t>II – os itinerários e respectivas quilometragens;</w:t>
      </w:r>
    </w:p>
    <w:p>
      <w:pPr>
        <w:pStyle w:val="NormalWeb"/>
        <w:spacing w:beforeAutospacing="0" w:before="0" w:afterAutospacing="0" w:after="0"/>
        <w:ind w:left="1069"/>
        <w:jc w:val="both"/>
        <w:rPr>
          <w:rFonts w:ascii="Arial" w:hAnsi="Arial" w:cs="Arial"/>
          <w:sz w:val="18"/>
          <w:szCs w:val="18"/>
        </w:rPr>
      </w:pPr>
      <w:r>
        <w:rPr>
          <w:rFonts w:cs="Arial" w:ascii="Arial" w:hAnsi="Arial"/>
          <w:sz w:val="18"/>
          <w:szCs w:val="18"/>
        </w:rPr>
        <w:t>III – o calendário escolar vigente;</w:t>
      </w:r>
    </w:p>
    <w:p>
      <w:pPr>
        <w:pStyle w:val="NormalWeb"/>
        <w:spacing w:beforeAutospacing="0" w:before="0" w:afterAutospacing="0" w:after="0"/>
        <w:ind w:left="1069"/>
        <w:jc w:val="both"/>
        <w:rPr>
          <w:rFonts w:ascii="Arial" w:hAnsi="Arial" w:cs="Arial"/>
          <w:sz w:val="18"/>
          <w:szCs w:val="18"/>
        </w:rPr>
      </w:pPr>
      <w:r>
        <w:rPr>
          <w:rFonts w:cs="Arial" w:ascii="Arial" w:hAnsi="Arial"/>
          <w:sz w:val="18"/>
          <w:szCs w:val="18"/>
        </w:rPr>
        <w:t>IV – as normas do Código de Trânsito Brasileiro;</w:t>
      </w:r>
    </w:p>
    <w:p>
      <w:pPr>
        <w:pStyle w:val="NormalWeb"/>
        <w:spacing w:beforeAutospacing="0" w:before="0" w:afterAutospacing="0" w:after="0"/>
        <w:ind w:left="1069"/>
        <w:jc w:val="both"/>
        <w:rPr>
          <w:rFonts w:ascii="Arial" w:hAnsi="Arial" w:cs="Arial"/>
          <w:sz w:val="18"/>
          <w:szCs w:val="18"/>
        </w:rPr>
      </w:pPr>
      <w:r>
        <w:rPr>
          <w:rFonts w:cs="Arial" w:ascii="Arial" w:hAnsi="Arial"/>
          <w:sz w:val="18"/>
          <w:szCs w:val="18"/>
        </w:rPr>
        <w:t>V – as Resoluções do Conselho Nacional de Trânsito – CONTRAN;</w:t>
      </w:r>
    </w:p>
    <w:p>
      <w:pPr>
        <w:pStyle w:val="NormalWeb"/>
        <w:spacing w:beforeAutospacing="0" w:before="0" w:afterAutospacing="0" w:after="0"/>
        <w:ind w:left="1069"/>
        <w:jc w:val="both"/>
        <w:rPr>
          <w:rFonts w:ascii="Arial" w:hAnsi="Arial" w:cs="Arial"/>
          <w:sz w:val="18"/>
          <w:szCs w:val="18"/>
        </w:rPr>
      </w:pPr>
      <w:r>
        <w:rPr>
          <w:rFonts w:cs="Arial" w:ascii="Arial" w:hAnsi="Arial"/>
          <w:sz w:val="18"/>
          <w:szCs w:val="18"/>
        </w:rPr>
        <w:t>VI – as normas expedidas pelos órgãos competentes de trânsito;</w:t>
      </w:r>
    </w:p>
    <w:p>
      <w:pPr>
        <w:pStyle w:val="NormalWeb"/>
        <w:spacing w:beforeAutospacing="0" w:before="0" w:afterAutospacing="0" w:after="0"/>
        <w:ind w:left="1069"/>
        <w:jc w:val="both"/>
        <w:rPr>
          <w:rFonts w:ascii="Arial" w:hAnsi="Arial" w:cs="Arial"/>
          <w:sz w:val="18"/>
          <w:szCs w:val="18"/>
        </w:rPr>
      </w:pPr>
      <w:r>
        <w:rPr>
          <w:rFonts w:cs="Arial" w:ascii="Arial" w:hAnsi="Arial"/>
          <w:sz w:val="18"/>
          <w:szCs w:val="18"/>
        </w:rPr>
        <w:t>VII – as normas de segurança aplicáveis ao transporte escolar;</w:t>
      </w:r>
    </w:p>
    <w:p>
      <w:pPr>
        <w:pStyle w:val="NormalWeb"/>
        <w:spacing w:beforeAutospacing="0" w:before="0" w:afterAutospacing="0" w:after="0"/>
        <w:ind w:left="1069"/>
        <w:jc w:val="both"/>
        <w:rPr>
          <w:rFonts w:ascii="Arial" w:hAnsi="Arial" w:cs="Arial"/>
          <w:sz w:val="18"/>
          <w:szCs w:val="18"/>
        </w:rPr>
      </w:pPr>
      <w:r>
        <w:rPr>
          <w:rFonts w:cs="Arial" w:ascii="Arial" w:hAnsi="Arial"/>
          <w:sz w:val="18"/>
          <w:szCs w:val="18"/>
        </w:rPr>
        <w:t>VIII – as determinações da fiscalização contratual.</w:t>
      </w:r>
    </w:p>
    <w:p>
      <w:pPr>
        <w:pStyle w:val="Heading3"/>
        <w:spacing w:before="0" w:after="0"/>
        <w:ind w:left="1069"/>
        <w:jc w:val="both"/>
        <w:rPr>
          <w:rFonts w:ascii="Arial" w:hAnsi="Arial" w:cs="Arial"/>
          <w:sz w:val="18"/>
          <w:szCs w:val="18"/>
        </w:rPr>
      </w:pPr>
      <w:r>
        <w:rPr>
          <w:rFonts w:cs="Arial" w:ascii="Arial" w:hAnsi="Arial"/>
          <w:sz w:val="18"/>
          <w:szCs w:val="18"/>
        </w:rPr>
        <w:t>1.5 Todos os veículos, motoristas, equipamentos, documentos, licenças, autorizações, seguros e demais requisitos necessários à perfeita execução do objeto constituem responsabilidade exclusiva da futura contratada, sem qualquer ônus adicional para a Administração.</w:t>
      </w:r>
    </w:p>
    <w:p>
      <w:pPr>
        <w:pStyle w:val="Heading3"/>
        <w:spacing w:before="0" w:after="0"/>
        <w:ind w:left="1069"/>
        <w:jc w:val="both"/>
        <w:rPr>
          <w:rFonts w:ascii="Arial" w:hAnsi="Arial" w:cs="Arial"/>
          <w:sz w:val="18"/>
          <w:szCs w:val="18"/>
        </w:rPr>
      </w:pPr>
      <w:r>
        <w:rPr>
          <w:rFonts w:cs="Arial" w:ascii="Arial" w:hAnsi="Arial"/>
          <w:sz w:val="18"/>
          <w:szCs w:val="18"/>
        </w:rPr>
        <w:t>1.6 Integram esta contratação, independentemente de transcrição:</w:t>
      </w:r>
    </w:p>
    <w:p>
      <w:pPr>
        <w:pStyle w:val="NormalWeb"/>
        <w:spacing w:beforeAutospacing="0" w:before="0" w:afterAutospacing="0" w:after="0"/>
        <w:ind w:left="1069"/>
        <w:jc w:val="both"/>
        <w:rPr>
          <w:rFonts w:ascii="Arial" w:hAnsi="Arial" w:cs="Arial"/>
          <w:sz w:val="18"/>
          <w:szCs w:val="18"/>
        </w:rPr>
      </w:pPr>
      <w:r>
        <w:rPr>
          <w:rFonts w:cs="Arial" w:ascii="Arial" w:hAnsi="Arial"/>
          <w:sz w:val="18"/>
          <w:szCs w:val="18"/>
        </w:rPr>
        <w:t>I – Estudo Técnico Preliminar;</w:t>
      </w:r>
    </w:p>
    <w:p>
      <w:pPr>
        <w:pStyle w:val="NormalWeb"/>
        <w:spacing w:beforeAutospacing="0" w:before="0" w:afterAutospacing="0" w:after="0"/>
        <w:ind w:left="1069"/>
        <w:jc w:val="both"/>
        <w:rPr>
          <w:rFonts w:ascii="Arial" w:hAnsi="Arial" w:cs="Arial"/>
          <w:sz w:val="18"/>
          <w:szCs w:val="18"/>
        </w:rPr>
      </w:pPr>
      <w:r>
        <w:rPr>
          <w:rFonts w:cs="Arial" w:ascii="Arial" w:hAnsi="Arial"/>
          <w:sz w:val="18"/>
          <w:szCs w:val="18"/>
        </w:rPr>
        <w:t>II – Termo de Referência;</w:t>
      </w:r>
    </w:p>
    <w:p>
      <w:pPr>
        <w:pStyle w:val="NormalWeb"/>
        <w:spacing w:beforeAutospacing="0" w:before="0" w:afterAutospacing="0" w:after="0"/>
        <w:ind w:left="1069"/>
        <w:jc w:val="both"/>
        <w:rPr>
          <w:rFonts w:ascii="Arial" w:hAnsi="Arial" w:cs="Arial"/>
          <w:sz w:val="18"/>
          <w:szCs w:val="18"/>
        </w:rPr>
      </w:pPr>
      <w:r>
        <w:rPr>
          <w:rFonts w:cs="Arial" w:ascii="Arial" w:hAnsi="Arial"/>
          <w:sz w:val="18"/>
          <w:szCs w:val="18"/>
        </w:rPr>
        <w:t>III – Planilhas de composição dos custos;</w:t>
      </w:r>
    </w:p>
    <w:p>
      <w:pPr>
        <w:pStyle w:val="NormalWeb"/>
        <w:spacing w:beforeAutospacing="0" w:before="0" w:afterAutospacing="0" w:after="0"/>
        <w:ind w:left="1069"/>
        <w:jc w:val="both"/>
        <w:rPr>
          <w:rFonts w:ascii="Arial" w:hAnsi="Arial" w:cs="Arial"/>
          <w:sz w:val="18"/>
          <w:szCs w:val="18"/>
        </w:rPr>
      </w:pPr>
      <w:r>
        <w:rPr>
          <w:rFonts w:cs="Arial" w:ascii="Arial" w:hAnsi="Arial"/>
          <w:sz w:val="18"/>
          <w:szCs w:val="18"/>
        </w:rPr>
        <w:t>IV – Planilhas contendo os itinerários e quilometragens;</w:t>
      </w:r>
    </w:p>
    <w:p>
      <w:pPr>
        <w:pStyle w:val="NormalWeb"/>
        <w:spacing w:beforeAutospacing="0" w:before="0" w:afterAutospacing="0" w:after="0"/>
        <w:ind w:left="1069"/>
        <w:jc w:val="both"/>
        <w:rPr>
          <w:rFonts w:ascii="Arial" w:hAnsi="Arial" w:cs="Arial"/>
          <w:sz w:val="18"/>
          <w:szCs w:val="18"/>
        </w:rPr>
      </w:pPr>
      <w:r>
        <w:rPr>
          <w:rFonts w:cs="Arial" w:ascii="Arial" w:hAnsi="Arial"/>
          <w:sz w:val="18"/>
          <w:szCs w:val="18"/>
        </w:rPr>
        <w:t>V – Minuta do Contrato;</w:t>
      </w:r>
    </w:p>
    <w:p>
      <w:pPr>
        <w:pStyle w:val="NormalWeb"/>
        <w:spacing w:beforeAutospacing="0" w:before="0" w:afterAutospacing="0" w:after="0"/>
        <w:ind w:left="1069"/>
        <w:jc w:val="both"/>
        <w:rPr>
          <w:rFonts w:ascii="Arial" w:hAnsi="Arial" w:cs="Arial"/>
          <w:sz w:val="18"/>
          <w:szCs w:val="18"/>
        </w:rPr>
      </w:pPr>
      <w:r>
        <w:rPr>
          <w:rFonts w:cs="Arial" w:ascii="Arial" w:hAnsi="Arial"/>
          <w:sz w:val="18"/>
          <w:szCs w:val="18"/>
        </w:rPr>
        <w:t>VI – Demais anexos deste Edital</w:t>
      </w:r>
      <w:bookmarkStart w:id="1" w:name="_Toc135469225"/>
    </w:p>
    <w:p>
      <w:pPr>
        <w:pStyle w:val="Nivel01"/>
        <w:numPr>
          <w:ilvl w:val="0"/>
          <w:numId w:val="14"/>
        </w:numPr>
        <w:spacing w:lineRule="auto" w:line="240" w:before="0" w:after="0"/>
        <w:ind w:hanging="360" w:left="567"/>
        <w:rPr>
          <w:color w:val="000000"/>
          <w:sz w:val="18"/>
          <w:szCs w:val="18"/>
        </w:rPr>
      </w:pPr>
      <w:r>
        <w:rPr>
          <w:color w:val="000000"/>
          <w:sz w:val="18"/>
          <w:szCs w:val="18"/>
        </w:rPr>
        <w:t>DA FUNDAMENTAÇÃO DA CONTRATAÇÃO E DOS DOCUMENTOS INTEGRANTES DA FASE PREPARATÓRIA</w:t>
      </w:r>
    </w:p>
    <w:p>
      <w:pPr>
        <w:pStyle w:val="Nivel01"/>
        <w:numPr>
          <w:ilvl w:val="0"/>
          <w:numId w:val="0"/>
        </w:numPr>
        <w:spacing w:lineRule="auto" w:line="240" w:before="0" w:after="0"/>
        <w:ind w:hanging="360" w:left="360"/>
        <w:rPr>
          <w:b w:val="false"/>
          <w:bCs w:val="false"/>
          <w:color w:val="000000"/>
          <w:sz w:val="18"/>
          <w:szCs w:val="18"/>
        </w:rPr>
      </w:pPr>
      <w:r>
        <w:rPr>
          <w:b w:val="false"/>
          <w:bCs w:val="false"/>
          <w:color w:val="000000"/>
          <w:sz w:val="18"/>
          <w:szCs w:val="18"/>
        </w:rPr>
        <w:t>2.1 A presente contratação decorre da necessidade de assegurar a continuidade da prestação dos serviços de transporte escolar aos alunos matriculados na Rede Pública Municipal e Estadual de Ensino do Município de Santa Bárbara do Sul/RS, garantindo o acesso e a permanência dos estudantes nas unidades escolares, em observância aos princípios constitucionais do direito à educação, da eficiência, da continuidade do serviço público e do interesse público.</w:t>
      </w:r>
    </w:p>
    <w:p>
      <w:pPr>
        <w:pStyle w:val="Nivel01"/>
        <w:numPr>
          <w:ilvl w:val="0"/>
          <w:numId w:val="0"/>
        </w:numPr>
        <w:spacing w:lineRule="auto" w:line="240" w:before="0" w:after="0"/>
        <w:ind w:hanging="360" w:left="360"/>
        <w:rPr>
          <w:b w:val="false"/>
          <w:bCs w:val="false"/>
          <w:color w:val="000000"/>
          <w:sz w:val="18"/>
          <w:szCs w:val="18"/>
        </w:rPr>
      </w:pPr>
      <w:r>
        <w:rPr>
          <w:b w:val="false"/>
          <w:bCs w:val="false"/>
          <w:color w:val="000000"/>
          <w:sz w:val="18"/>
          <w:szCs w:val="18"/>
        </w:rPr>
        <w:t>2.2 A contratação foi precedida do adequado planejamento administrativo, observando-se a fase preparatória prevista nos arts. 18 e seguintes da Lei Federal nº 14.133/2021, sendo instruída com os documentos técnicos e administrativos necessários à demonstração da necessidade da contratação, definição da solução mais vantajosa e estimativa do valor da contratação.</w:t>
      </w:r>
    </w:p>
    <w:p>
      <w:pPr>
        <w:pStyle w:val="Nivel01"/>
        <w:numPr>
          <w:ilvl w:val="0"/>
          <w:numId w:val="0"/>
        </w:numPr>
        <w:ind w:hanging="0" w:left="0"/>
        <w:rPr>
          <w:b w:val="false"/>
          <w:bCs w:val="false"/>
          <w:color w:val="000000"/>
          <w:sz w:val="18"/>
          <w:szCs w:val="18"/>
        </w:rPr>
      </w:pPr>
      <w:r>
        <w:rPr>
          <w:b w:val="false"/>
          <w:bCs w:val="false"/>
          <w:color w:val="000000"/>
          <w:sz w:val="18"/>
          <w:szCs w:val="18"/>
        </w:rPr>
        <w:t>2.3 Integram a fase preparatória deste procedimento, dentre outros documentos constantes dos autos do Processo Licitatório nº 141/2026:</w:t>
      </w:r>
    </w:p>
    <w:p>
      <w:pPr>
        <w:pStyle w:val="Nivel01"/>
        <w:numPr>
          <w:ilvl w:val="0"/>
          <w:numId w:val="0"/>
        </w:numPr>
        <w:spacing w:before="0" w:after="0"/>
        <w:ind w:hanging="0" w:left="426"/>
        <w:rPr>
          <w:b w:val="false"/>
          <w:bCs w:val="false"/>
          <w:color w:val="000000"/>
          <w:sz w:val="18"/>
          <w:szCs w:val="18"/>
        </w:rPr>
      </w:pPr>
      <w:r>
        <w:rPr>
          <w:b w:val="false"/>
          <w:bCs w:val="false"/>
          <w:color w:val="000000"/>
          <w:sz w:val="18"/>
          <w:szCs w:val="18"/>
        </w:rPr>
        <w:t>I – Documento de Formalização da Demanda (quando aplicável);</w:t>
      </w:r>
    </w:p>
    <w:p>
      <w:pPr>
        <w:pStyle w:val="Nivel01"/>
        <w:numPr>
          <w:ilvl w:val="0"/>
          <w:numId w:val="0"/>
        </w:numPr>
        <w:spacing w:before="0" w:after="0"/>
        <w:ind w:hanging="0" w:left="360"/>
        <w:rPr>
          <w:b w:val="false"/>
          <w:bCs w:val="false"/>
          <w:color w:val="000000"/>
          <w:sz w:val="18"/>
          <w:szCs w:val="18"/>
        </w:rPr>
      </w:pPr>
      <w:r>
        <w:rPr>
          <w:b w:val="false"/>
          <w:bCs w:val="false"/>
          <w:color w:val="000000"/>
          <w:sz w:val="18"/>
          <w:szCs w:val="18"/>
        </w:rPr>
        <w:t>II – Estudo Técnico Preliminar – ETP;</w:t>
      </w:r>
    </w:p>
    <w:p>
      <w:pPr>
        <w:pStyle w:val="Nivel01"/>
        <w:numPr>
          <w:ilvl w:val="0"/>
          <w:numId w:val="0"/>
        </w:numPr>
        <w:spacing w:before="0" w:after="0"/>
        <w:ind w:hanging="0" w:left="360"/>
        <w:rPr>
          <w:b w:val="false"/>
          <w:bCs w:val="false"/>
          <w:color w:val="000000"/>
          <w:sz w:val="18"/>
          <w:szCs w:val="18"/>
        </w:rPr>
      </w:pPr>
      <w:r>
        <w:rPr>
          <w:b w:val="false"/>
          <w:bCs w:val="false"/>
          <w:color w:val="000000"/>
          <w:sz w:val="18"/>
          <w:szCs w:val="18"/>
        </w:rPr>
        <w:t>III – Termo de Referência;</w:t>
      </w:r>
    </w:p>
    <w:p>
      <w:pPr>
        <w:pStyle w:val="Nivel01"/>
        <w:numPr>
          <w:ilvl w:val="0"/>
          <w:numId w:val="0"/>
        </w:numPr>
        <w:spacing w:before="0" w:after="0"/>
        <w:ind w:hanging="0" w:left="360"/>
        <w:rPr>
          <w:b w:val="false"/>
          <w:bCs w:val="false"/>
          <w:color w:val="000000"/>
          <w:sz w:val="18"/>
          <w:szCs w:val="18"/>
        </w:rPr>
      </w:pPr>
      <w:r>
        <w:rPr>
          <w:b w:val="false"/>
          <w:bCs w:val="false"/>
          <w:color w:val="000000"/>
          <w:sz w:val="18"/>
          <w:szCs w:val="18"/>
        </w:rPr>
        <w:t>IV – Pesquisa de preços e respectivas memórias de cálculo;</w:t>
      </w:r>
    </w:p>
    <w:p>
      <w:pPr>
        <w:pStyle w:val="Nivel01"/>
        <w:numPr>
          <w:ilvl w:val="0"/>
          <w:numId w:val="0"/>
        </w:numPr>
        <w:spacing w:before="0" w:after="0"/>
        <w:ind w:hanging="0" w:left="360"/>
        <w:rPr>
          <w:b w:val="false"/>
          <w:bCs w:val="false"/>
          <w:color w:val="000000"/>
          <w:sz w:val="18"/>
          <w:szCs w:val="18"/>
        </w:rPr>
      </w:pPr>
      <w:r>
        <w:rPr>
          <w:b w:val="false"/>
          <w:bCs w:val="false"/>
          <w:color w:val="000000"/>
          <w:sz w:val="18"/>
          <w:szCs w:val="18"/>
        </w:rPr>
        <w:t>V – Planilhas analíticas de composição dos custos da contratação;</w:t>
      </w:r>
    </w:p>
    <w:p>
      <w:pPr>
        <w:pStyle w:val="Nivel01"/>
        <w:numPr>
          <w:ilvl w:val="0"/>
          <w:numId w:val="0"/>
        </w:numPr>
        <w:spacing w:before="0" w:after="0"/>
        <w:ind w:hanging="0" w:left="360"/>
        <w:rPr>
          <w:b w:val="false"/>
          <w:bCs w:val="false"/>
          <w:color w:val="000000"/>
          <w:sz w:val="18"/>
          <w:szCs w:val="18"/>
        </w:rPr>
      </w:pPr>
      <w:r>
        <w:rPr>
          <w:b w:val="false"/>
          <w:bCs w:val="false"/>
          <w:color w:val="000000"/>
          <w:sz w:val="18"/>
          <w:szCs w:val="18"/>
        </w:rPr>
        <w:t>VI – Justificativa da contratação;</w:t>
      </w:r>
    </w:p>
    <w:p>
      <w:pPr>
        <w:pStyle w:val="Nivel01"/>
        <w:numPr>
          <w:ilvl w:val="0"/>
          <w:numId w:val="0"/>
        </w:numPr>
        <w:spacing w:before="0" w:after="0"/>
        <w:ind w:hanging="0" w:left="360"/>
        <w:rPr>
          <w:b w:val="false"/>
          <w:bCs w:val="false"/>
          <w:color w:val="000000"/>
          <w:sz w:val="18"/>
          <w:szCs w:val="18"/>
        </w:rPr>
      </w:pPr>
      <w:r>
        <w:rPr>
          <w:b w:val="false"/>
          <w:bCs w:val="false"/>
          <w:color w:val="000000"/>
          <w:sz w:val="18"/>
          <w:szCs w:val="18"/>
        </w:rPr>
        <w:t>VII – Demonstrativo da disponibilidade orçamentária;</w:t>
      </w:r>
    </w:p>
    <w:p>
      <w:pPr>
        <w:pStyle w:val="Nivel01"/>
        <w:numPr>
          <w:ilvl w:val="0"/>
          <w:numId w:val="0"/>
        </w:numPr>
        <w:spacing w:before="0" w:after="0"/>
        <w:ind w:hanging="0" w:left="360"/>
        <w:rPr>
          <w:b w:val="false"/>
          <w:bCs w:val="false"/>
          <w:color w:val="000000"/>
          <w:sz w:val="18"/>
          <w:szCs w:val="18"/>
        </w:rPr>
      </w:pPr>
      <w:r>
        <w:rPr>
          <w:b w:val="false"/>
          <w:bCs w:val="false"/>
          <w:color w:val="000000"/>
          <w:sz w:val="18"/>
          <w:szCs w:val="18"/>
        </w:rPr>
        <w:t>VIII – Parecer jurídico, quando exigido;</w:t>
      </w:r>
    </w:p>
    <w:p>
      <w:pPr>
        <w:pStyle w:val="Nivel01"/>
        <w:numPr>
          <w:ilvl w:val="0"/>
          <w:numId w:val="0"/>
        </w:numPr>
        <w:spacing w:before="0" w:after="0"/>
        <w:ind w:hanging="0" w:left="360"/>
        <w:rPr>
          <w:b w:val="false"/>
          <w:bCs w:val="false"/>
          <w:color w:val="000000"/>
          <w:sz w:val="18"/>
          <w:szCs w:val="18"/>
        </w:rPr>
      </w:pPr>
      <w:r>
        <w:rPr>
          <w:b w:val="false"/>
          <w:bCs w:val="false"/>
          <w:color w:val="000000"/>
          <w:sz w:val="18"/>
          <w:szCs w:val="18"/>
        </w:rPr>
        <w:t>IX – Demais documentos constantes do processo administrativo.</w:t>
      </w:r>
    </w:p>
    <w:p>
      <w:pPr>
        <w:pStyle w:val="Nivel01"/>
        <w:numPr>
          <w:ilvl w:val="0"/>
          <w:numId w:val="0"/>
        </w:numPr>
        <w:spacing w:before="0" w:after="0"/>
        <w:ind w:hanging="0" w:left="360"/>
        <w:rPr>
          <w:b w:val="false"/>
          <w:bCs w:val="false"/>
          <w:color w:val="000000"/>
          <w:sz w:val="18"/>
          <w:szCs w:val="18"/>
        </w:rPr>
      </w:pPr>
      <w:r>
        <w:rPr>
          <w:b w:val="false"/>
          <w:bCs w:val="false"/>
          <w:color w:val="000000"/>
          <w:sz w:val="18"/>
          <w:szCs w:val="18"/>
        </w:rPr>
        <w:t>2.4 A estimativa dos preços referenciais foi elaborada com base em metodologia tecnicamente justificada, utilizando planilhas analíticas de custos e demais parâmetros considerados adequados à natureza da contratação, observando os princípios da economicidade, eficiência e vantajosidade para a Administração Pública.</w:t>
      </w:r>
    </w:p>
    <w:p>
      <w:pPr>
        <w:pStyle w:val="Nivel01"/>
        <w:numPr>
          <w:ilvl w:val="0"/>
          <w:numId w:val="0"/>
        </w:numPr>
        <w:spacing w:before="0" w:after="0"/>
        <w:ind w:hanging="0" w:left="360"/>
        <w:rPr>
          <w:b w:val="false"/>
          <w:bCs w:val="false"/>
          <w:color w:val="000000"/>
          <w:sz w:val="18"/>
          <w:szCs w:val="18"/>
        </w:rPr>
      </w:pPr>
      <w:r>
        <w:rPr>
          <w:b w:val="false"/>
          <w:bCs w:val="false"/>
          <w:color w:val="000000"/>
          <w:sz w:val="18"/>
          <w:szCs w:val="18"/>
        </w:rPr>
        <w:t>2.5 As especificações técnicas constantes do Termo de Referência foram elaboradas considerando as necessidades da Administração, as características das linhas de transporte escolar, a segurança dos usuários, a legislação de trânsito vigente, as normas aplicáveis ao transporte escolar e as peculiaridades das estradas e itinerários atendidos pelo Município.</w:t>
      </w:r>
    </w:p>
    <w:p>
      <w:pPr>
        <w:pStyle w:val="Nivel01"/>
        <w:numPr>
          <w:ilvl w:val="0"/>
          <w:numId w:val="0"/>
        </w:numPr>
        <w:spacing w:before="0" w:after="0"/>
        <w:ind w:hanging="0" w:left="360"/>
        <w:rPr>
          <w:b w:val="false"/>
          <w:bCs w:val="false"/>
          <w:color w:val="000000"/>
          <w:sz w:val="18"/>
          <w:szCs w:val="18"/>
        </w:rPr>
      </w:pPr>
      <w:r>
        <w:rPr>
          <w:b w:val="false"/>
          <w:bCs w:val="false"/>
          <w:color w:val="000000"/>
          <w:sz w:val="18"/>
          <w:szCs w:val="18"/>
        </w:rPr>
        <w:t>2.6 Os documentos integrantes da fase preparatória complementam as disposições deste Edital e deverão ser observados pela licitante durante a formulação da proposta e, posteriormente, pela contratada durante toda a execução contratual.</w:t>
      </w:r>
    </w:p>
    <w:p>
      <w:pPr>
        <w:pStyle w:val="Nivel01"/>
        <w:numPr>
          <w:ilvl w:val="0"/>
          <w:numId w:val="0"/>
        </w:numPr>
        <w:spacing w:before="0" w:after="0"/>
        <w:ind w:hanging="0" w:left="360"/>
        <w:rPr>
          <w:b w:val="false"/>
          <w:bCs w:val="false"/>
          <w:color w:val="000000"/>
          <w:sz w:val="18"/>
          <w:szCs w:val="18"/>
        </w:rPr>
      </w:pPr>
      <w:r>
        <w:rPr>
          <w:b w:val="false"/>
          <w:bCs w:val="false"/>
          <w:color w:val="000000"/>
          <w:sz w:val="18"/>
          <w:szCs w:val="18"/>
        </w:rPr>
        <w:t>2.7 Havendo divergência entre as disposições constantes deste Edital, do Termo de Referência, da Minuta Contratual ou dos demais anexos, prevalecerá a interpretação que melhor atenda ao interesse público, observada a seguinte ordem de prevalência:</w:t>
      </w:r>
    </w:p>
    <w:p>
      <w:pPr>
        <w:pStyle w:val="Nivel01"/>
        <w:numPr>
          <w:ilvl w:val="0"/>
          <w:numId w:val="0"/>
        </w:numPr>
        <w:spacing w:before="0" w:after="0"/>
        <w:ind w:hanging="0" w:left="360"/>
        <w:rPr>
          <w:b w:val="false"/>
          <w:bCs w:val="false"/>
          <w:color w:val="000000"/>
          <w:sz w:val="18"/>
          <w:szCs w:val="18"/>
        </w:rPr>
      </w:pPr>
      <w:r>
        <w:rPr>
          <w:b w:val="false"/>
          <w:bCs w:val="false"/>
          <w:color w:val="000000"/>
          <w:sz w:val="18"/>
          <w:szCs w:val="18"/>
        </w:rPr>
        <w:t>I – Lei Federal nº 14.133/2021 e demais normas legais aplicáveis;</w:t>
      </w:r>
    </w:p>
    <w:p>
      <w:pPr>
        <w:pStyle w:val="Nivel01"/>
        <w:numPr>
          <w:ilvl w:val="0"/>
          <w:numId w:val="0"/>
        </w:numPr>
        <w:spacing w:before="0" w:after="0"/>
        <w:ind w:hanging="0" w:left="360"/>
        <w:rPr>
          <w:b w:val="false"/>
          <w:bCs w:val="false"/>
          <w:color w:val="000000"/>
          <w:sz w:val="18"/>
          <w:szCs w:val="18"/>
        </w:rPr>
      </w:pPr>
      <w:r>
        <w:rPr>
          <w:b w:val="false"/>
          <w:bCs w:val="false"/>
          <w:color w:val="000000"/>
          <w:sz w:val="18"/>
          <w:szCs w:val="18"/>
        </w:rPr>
        <w:t>II – Edital;</w:t>
      </w:r>
    </w:p>
    <w:p>
      <w:pPr>
        <w:pStyle w:val="Nivel01"/>
        <w:numPr>
          <w:ilvl w:val="0"/>
          <w:numId w:val="0"/>
        </w:numPr>
        <w:spacing w:before="0" w:after="0"/>
        <w:ind w:hanging="0" w:left="360"/>
        <w:rPr>
          <w:b w:val="false"/>
          <w:bCs w:val="false"/>
          <w:color w:val="000000"/>
          <w:sz w:val="18"/>
          <w:szCs w:val="18"/>
        </w:rPr>
      </w:pPr>
      <w:r>
        <w:rPr>
          <w:b w:val="false"/>
          <w:bCs w:val="false"/>
          <w:color w:val="000000"/>
          <w:sz w:val="18"/>
          <w:szCs w:val="18"/>
        </w:rPr>
        <w:t>III – Termo de Referência;</w:t>
      </w:r>
    </w:p>
    <w:p>
      <w:pPr>
        <w:pStyle w:val="Nivel01"/>
        <w:numPr>
          <w:ilvl w:val="0"/>
          <w:numId w:val="0"/>
        </w:numPr>
        <w:spacing w:before="0" w:after="0"/>
        <w:ind w:hanging="0" w:left="360"/>
        <w:rPr>
          <w:b w:val="false"/>
          <w:bCs w:val="false"/>
          <w:color w:val="000000"/>
          <w:sz w:val="18"/>
          <w:szCs w:val="18"/>
        </w:rPr>
      </w:pPr>
      <w:r>
        <w:rPr>
          <w:b w:val="false"/>
          <w:bCs w:val="false"/>
          <w:color w:val="000000"/>
          <w:sz w:val="18"/>
          <w:szCs w:val="18"/>
        </w:rPr>
        <w:t>IV – Minuta Contratual;</w:t>
      </w:r>
    </w:p>
    <w:p>
      <w:pPr>
        <w:pStyle w:val="Nivel01"/>
        <w:numPr>
          <w:ilvl w:val="0"/>
          <w:numId w:val="0"/>
        </w:numPr>
        <w:spacing w:before="0" w:after="0"/>
        <w:ind w:hanging="0" w:left="360"/>
        <w:rPr>
          <w:b w:val="false"/>
          <w:bCs w:val="false"/>
          <w:color w:val="000000"/>
          <w:sz w:val="18"/>
          <w:szCs w:val="18"/>
        </w:rPr>
      </w:pPr>
      <w:r>
        <w:rPr>
          <w:b w:val="false"/>
          <w:bCs w:val="false"/>
          <w:color w:val="000000"/>
          <w:sz w:val="18"/>
          <w:szCs w:val="18"/>
        </w:rPr>
        <w:t>V – Demais anexos.</w:t>
      </w:r>
    </w:p>
    <w:p>
      <w:pPr>
        <w:pStyle w:val="Nivel01"/>
        <w:numPr>
          <w:ilvl w:val="0"/>
          <w:numId w:val="0"/>
        </w:numPr>
        <w:spacing w:before="0" w:after="0"/>
        <w:ind w:hanging="0" w:left="360"/>
        <w:rPr>
          <w:b w:val="false"/>
          <w:bCs w:val="false"/>
          <w:color w:val="000000"/>
          <w:sz w:val="18"/>
          <w:szCs w:val="18"/>
        </w:rPr>
      </w:pPr>
      <w:r>
        <w:rPr>
          <w:b w:val="false"/>
          <w:bCs w:val="false"/>
          <w:color w:val="000000"/>
          <w:sz w:val="18"/>
          <w:szCs w:val="18"/>
        </w:rPr>
        <w:t>Essa cláusula evita muitos conflitos de interpretação durante a execução do contrato.</w:t>
      </w:r>
    </w:p>
    <w:p>
      <w:pPr>
        <w:pStyle w:val="Nivel01"/>
        <w:numPr>
          <w:ilvl w:val="0"/>
          <w:numId w:val="0"/>
        </w:numPr>
        <w:spacing w:before="0" w:after="0"/>
        <w:ind w:hanging="0" w:left="360"/>
        <w:rPr>
          <w:color w:val="000000"/>
          <w:sz w:val="18"/>
          <w:szCs w:val="18"/>
        </w:rPr>
      </w:pPr>
      <w:r>
        <w:rPr>
          <w:color w:val="000000"/>
          <w:sz w:val="18"/>
          <w:szCs w:val="18"/>
        </w:rPr>
      </w:r>
    </w:p>
    <w:p>
      <w:pPr>
        <w:pStyle w:val="Nivel01"/>
        <w:numPr>
          <w:ilvl w:val="0"/>
          <w:numId w:val="0"/>
        </w:numPr>
        <w:spacing w:lineRule="auto" w:line="240" w:before="0" w:after="0"/>
        <w:ind w:hanging="0" w:left="1429"/>
        <w:rPr>
          <w:color w:val="000000"/>
          <w:sz w:val="18"/>
          <w:szCs w:val="18"/>
        </w:rPr>
      </w:pPr>
      <w:r>
        <w:rPr>
          <w:color w:val="000000"/>
          <w:sz w:val="18"/>
          <w:szCs w:val="18"/>
        </w:rPr>
      </w:r>
    </w:p>
    <w:p>
      <w:pPr>
        <w:pStyle w:val="Nivel01"/>
        <w:numPr>
          <w:ilvl w:val="0"/>
          <w:numId w:val="14"/>
        </w:numPr>
        <w:spacing w:lineRule="auto" w:line="240" w:before="0" w:after="0"/>
        <w:rPr>
          <w:color w:val="000000"/>
          <w:sz w:val="18"/>
          <w:szCs w:val="18"/>
        </w:rPr>
      </w:pPr>
      <w:r>
        <w:rPr>
          <w:color w:val="000000"/>
          <w:sz w:val="18"/>
          <w:szCs w:val="18"/>
        </w:rPr>
        <w:t>DA PARTICIPAÇÃO NA LICITAÇÃO</w:t>
      </w:r>
      <w:bookmarkEnd w:id="1"/>
    </w:p>
    <w:p>
      <w:pPr>
        <w:pStyle w:val="Nivel01"/>
        <w:numPr>
          <w:ilvl w:val="0"/>
          <w:numId w:val="0"/>
        </w:numPr>
        <w:spacing w:lineRule="auto" w:line="240" w:before="0" w:after="0"/>
        <w:ind w:hanging="0" w:left="1429"/>
        <w:rPr>
          <w:color w:val="000000"/>
          <w:sz w:val="18"/>
          <w:szCs w:val="18"/>
        </w:rPr>
      </w:pPr>
      <w:r>
        <w:rPr>
          <w:color w:val="000000"/>
          <w:sz w:val="18"/>
          <w:szCs w:val="18"/>
        </w:rPr>
      </w:r>
    </w:p>
    <w:p>
      <w:pPr>
        <w:pStyle w:val="Normal"/>
        <w:spacing w:lineRule="auto" w:line="276"/>
        <w:jc w:val="both"/>
        <w:rPr>
          <w:rFonts w:ascii="Arial" w:hAnsi="Arial" w:cs="Arial"/>
          <w:color w:themeColor="text1" w:val="000000"/>
          <w:sz w:val="18"/>
          <w:szCs w:val="18"/>
        </w:rPr>
      </w:pPr>
      <w:bookmarkStart w:id="2" w:name="_Hlk135302270"/>
      <w:r>
        <w:rPr>
          <w:rFonts w:cs="Arial" w:ascii="Arial" w:hAnsi="Arial"/>
          <w:sz w:val="18"/>
          <w:szCs w:val="18"/>
        </w:rPr>
        <w:t>3.1</w:t>
        <w:tab/>
        <w:t xml:space="preserve">Poderão participar deste Pregão os interessados que estiverem previamente credenciados </w:t>
      </w:r>
      <w:r>
        <w:rPr>
          <w:rFonts w:eastAsia="CIDFont" w:cs="Arial" w:ascii="Arial" w:hAnsi="Arial"/>
          <w:color w:themeColor="text1" w:val="000000"/>
          <w:sz w:val="18"/>
          <w:szCs w:val="18"/>
          <w:lang w:eastAsia="zh-CN"/>
        </w:rPr>
        <w:t xml:space="preserve">ao sistema eletrônico, no site </w:t>
      </w:r>
      <w:hyperlink r:id="rId3" w:tooltip="http://www.portaldecompraspublicas.com.br">
        <w:r>
          <w:rPr>
            <w:rStyle w:val="Style"/>
            <w:rFonts w:eastAsia="CIDFont" w:cs="Arial" w:ascii="Arial" w:hAnsi="Arial"/>
            <w:color w:themeColor="text1" w:val="000000"/>
            <w:sz w:val="18"/>
            <w:szCs w:val="18"/>
            <w:u w:val="single"/>
            <w:lang w:eastAsia="zh-CN"/>
          </w:rPr>
          <w:t>https://pregaobanrisul.com.br/</w:t>
        </w:r>
      </w:hyperlink>
      <w:r>
        <w:rPr>
          <w:rFonts w:eastAsia="CIDFont" w:cs="Arial" w:ascii="Arial" w:hAnsi="Arial"/>
          <w:color w:themeColor="text1" w:val="000000"/>
          <w:sz w:val="18"/>
          <w:szCs w:val="18"/>
          <w:lang w:eastAsia="zh-CN"/>
        </w:rPr>
        <w:t xml:space="preserve"> </w:t>
      </w:r>
      <w:bookmarkEnd w:id="2"/>
      <w:r>
        <w:rPr>
          <w:rFonts w:eastAsia="CIDFont" w:cs="Arial" w:ascii="Arial" w:hAnsi="Arial"/>
          <w:color w:themeColor="text1" w:val="000000"/>
          <w:sz w:val="18"/>
          <w:szCs w:val="18"/>
          <w:lang w:eastAsia="zh-CN"/>
        </w:rPr>
        <w:t xml:space="preserve"> </w:t>
      </w:r>
    </w:p>
    <w:p>
      <w:pPr>
        <w:pStyle w:val="Nivel2"/>
        <w:numPr>
          <w:ilvl w:val="0"/>
          <w:numId w:val="0"/>
        </w:numPr>
        <w:spacing w:before="0" w:after="0"/>
        <w:ind w:hanging="0" w:left="0"/>
        <w:rPr>
          <w:sz w:val="18"/>
          <w:szCs w:val="18"/>
        </w:rPr>
      </w:pPr>
      <w:r>
        <w:rPr>
          <w:sz w:val="18"/>
          <w:szCs w:val="18"/>
        </w:rPr>
        <w:t>3.2</w:t>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ivel2"/>
        <w:numPr>
          <w:ilvl w:val="0"/>
          <w:numId w:val="0"/>
        </w:numPr>
        <w:spacing w:before="0" w:after="0"/>
        <w:ind w:hanging="0" w:left="0"/>
        <w:rPr>
          <w:sz w:val="18"/>
          <w:szCs w:val="18"/>
        </w:rPr>
      </w:pPr>
      <w:r>
        <w:rPr>
          <w:sz w:val="18"/>
          <w:szCs w:val="18"/>
        </w:rPr>
        <w:t>3.3</w:t>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pPr>
        <w:pStyle w:val="Nivel2"/>
        <w:numPr>
          <w:ilvl w:val="0"/>
          <w:numId w:val="0"/>
        </w:numPr>
        <w:spacing w:before="0" w:after="0"/>
        <w:ind w:hanging="0" w:left="0"/>
        <w:rPr>
          <w:sz w:val="18"/>
          <w:szCs w:val="18"/>
        </w:rPr>
      </w:pPr>
      <w:r>
        <w:rPr>
          <w:sz w:val="18"/>
          <w:szCs w:val="18"/>
        </w:rPr>
        <w:t>3.4</w:t>
        <w:tab/>
        <w:t>A não observância do disposto no item anterior poderá ensejar desclassificação no momento da habilitação.</w:t>
      </w:r>
    </w:p>
    <w:p>
      <w:pPr>
        <w:pStyle w:val="Nivel2"/>
        <w:numPr>
          <w:ilvl w:val="0"/>
          <w:numId w:val="0"/>
        </w:numPr>
        <w:spacing w:before="0" w:after="0"/>
        <w:ind w:hanging="0" w:left="0"/>
        <w:rPr>
          <w:sz w:val="18"/>
          <w:szCs w:val="18"/>
        </w:rPr>
      </w:pPr>
      <w:bookmarkStart w:id="3" w:name="_Ref117000692"/>
      <w:r>
        <w:rPr>
          <w:sz w:val="18"/>
          <w:szCs w:val="18"/>
        </w:rPr>
        <w:t>3.5</w:t>
        <w:tab/>
        <w:t>Não poderão disputar esta licitação:</w:t>
      </w:r>
      <w:bookmarkEnd w:id="3"/>
    </w:p>
    <w:p>
      <w:pPr>
        <w:pStyle w:val="Nivel3"/>
        <w:numPr>
          <w:ilvl w:val="0"/>
          <w:numId w:val="0"/>
        </w:numPr>
        <w:spacing w:before="0" w:after="0"/>
        <w:ind w:firstLine="708" w:left="0"/>
        <w:rPr>
          <w:sz w:val="18"/>
          <w:szCs w:val="18"/>
        </w:rPr>
      </w:pPr>
      <w:r>
        <w:rPr>
          <w:sz w:val="18"/>
          <w:szCs w:val="18"/>
        </w:rPr>
        <w:t>3.5.1</w:t>
        <w:tab/>
        <w:t>A</w:t>
      </w:r>
      <w:bookmarkStart w:id="4" w:name="_Ref113883338"/>
      <w:r>
        <w:rPr>
          <w:sz w:val="18"/>
          <w:szCs w:val="18"/>
        </w:rPr>
        <w:t>queles que não atendam às condições previstas neste Edital e seu(s) anexo(s);</w:t>
      </w:r>
    </w:p>
    <w:p>
      <w:pPr>
        <w:pStyle w:val="Nivel3"/>
        <w:numPr>
          <w:ilvl w:val="0"/>
          <w:numId w:val="0"/>
        </w:numPr>
        <w:spacing w:before="0" w:after="0"/>
        <w:ind w:firstLine="708" w:left="0"/>
        <w:rPr>
          <w:sz w:val="18"/>
          <w:szCs w:val="18"/>
        </w:rPr>
      </w:pPr>
      <w:bookmarkStart w:id="5" w:name="_Ref114659912"/>
      <w:r>
        <w:rPr>
          <w:sz w:val="18"/>
          <w:szCs w:val="18"/>
        </w:rPr>
        <w:t>3.5.2</w:t>
        <w:tab/>
        <w:t>O autor do anteprojeto, do projeto básico ou do projeto executivo, pessoa física ou jurídica, quando a licitação versar sobre serviços ou fornecimento de bens a ele relacionados;</w:t>
      </w:r>
      <w:bookmarkEnd w:id="4"/>
      <w:bookmarkEnd w:id="5"/>
    </w:p>
    <w:p>
      <w:pPr>
        <w:pStyle w:val="Nivel3"/>
        <w:numPr>
          <w:ilvl w:val="0"/>
          <w:numId w:val="0"/>
        </w:numPr>
        <w:spacing w:before="0" w:after="0"/>
        <w:ind w:firstLine="708" w:left="0"/>
        <w:rPr>
          <w:sz w:val="18"/>
          <w:szCs w:val="18"/>
        </w:rPr>
      </w:pPr>
      <w:bookmarkStart w:id="6" w:name="_Ref113883339"/>
      <w:bookmarkStart w:id="7" w:name="_Ref114659913"/>
      <w:r>
        <w:rPr>
          <w:sz w:val="18"/>
          <w:szCs w:val="18"/>
        </w:rPr>
        <w:t>3.5.3</w:t>
        <w:tab/>
        <w:t>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Pr>
          <w:sz w:val="18"/>
          <w:szCs w:val="18"/>
        </w:rPr>
        <w:t xml:space="preserve"> </w:t>
      </w:r>
      <w:bookmarkEnd w:id="6"/>
    </w:p>
    <w:p>
      <w:pPr>
        <w:pStyle w:val="Nivel3"/>
        <w:numPr>
          <w:ilvl w:val="0"/>
          <w:numId w:val="0"/>
        </w:numPr>
        <w:spacing w:before="0" w:after="0"/>
        <w:ind w:firstLine="708" w:left="0"/>
        <w:rPr>
          <w:sz w:val="18"/>
          <w:szCs w:val="18"/>
        </w:rPr>
      </w:pPr>
      <w:bookmarkStart w:id="8" w:name="_Ref113883003"/>
      <w:r>
        <w:rPr>
          <w:sz w:val="18"/>
          <w:szCs w:val="18"/>
        </w:rPr>
        <w:t>3.5.4</w:t>
        <w:tab/>
        <w:t>Pessoa física ou jurídica que se encontre, ao tempo da licitação, impossibilitada de participar da licitação em decorrência de sanção que lhe foi imposta;</w:t>
      </w:r>
      <w:bookmarkEnd w:id="8"/>
    </w:p>
    <w:p>
      <w:pPr>
        <w:pStyle w:val="Nivel3"/>
        <w:numPr>
          <w:ilvl w:val="0"/>
          <w:numId w:val="0"/>
        </w:numPr>
        <w:spacing w:before="0" w:after="0"/>
        <w:ind w:firstLine="708" w:left="0"/>
        <w:rPr>
          <w:sz w:val="18"/>
          <w:szCs w:val="18"/>
        </w:rPr>
      </w:pPr>
      <w:r>
        <w:rPr>
          <w:sz w:val="18"/>
          <w:szCs w:val="18"/>
        </w:rPr>
        <w:t>3.5.5</w:t>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ivel3"/>
        <w:numPr>
          <w:ilvl w:val="0"/>
          <w:numId w:val="0"/>
        </w:numPr>
        <w:spacing w:before="0" w:after="0"/>
        <w:ind w:firstLine="708" w:left="0"/>
        <w:rPr>
          <w:sz w:val="18"/>
          <w:szCs w:val="18"/>
        </w:rPr>
      </w:pPr>
      <w:r>
        <w:rPr>
          <w:sz w:val="18"/>
          <w:szCs w:val="18"/>
        </w:rPr>
        <w:t>3.5.6</w:t>
        <w:tab/>
        <w:t>E</w:t>
      </w:r>
      <w:bookmarkStart w:id="9" w:name="_Ref113883579"/>
      <w:r>
        <w:rPr>
          <w:sz w:val="18"/>
          <w:szCs w:val="18"/>
        </w:rPr>
        <w:t>mpresas controladoras, controladas ou coligadas, nos termos da Lei nº 6.404, de 15 de dezembro de 1976, concorrendo entre si;</w:t>
      </w:r>
      <w:bookmarkEnd w:id="9"/>
    </w:p>
    <w:p>
      <w:pPr>
        <w:pStyle w:val="Nivel3"/>
        <w:numPr>
          <w:ilvl w:val="0"/>
          <w:numId w:val="0"/>
        </w:numPr>
        <w:spacing w:before="0" w:after="0"/>
        <w:ind w:firstLine="708" w:left="0"/>
        <w:rPr>
          <w:sz w:val="18"/>
          <w:szCs w:val="18"/>
        </w:rPr>
      </w:pPr>
      <w:r>
        <w:rPr>
          <w:sz w:val="18"/>
          <w:szCs w:val="18"/>
        </w:rPr>
        <w:t>3.5.7</w:t>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ivel3"/>
        <w:numPr>
          <w:ilvl w:val="0"/>
          <w:numId w:val="0"/>
        </w:numPr>
        <w:spacing w:before="0" w:after="0"/>
        <w:ind w:firstLine="708" w:left="0"/>
        <w:rPr>
          <w:sz w:val="18"/>
          <w:szCs w:val="18"/>
        </w:rPr>
      </w:pPr>
      <w:bookmarkStart w:id="10" w:name="_Ref113962336"/>
      <w:r>
        <w:rPr>
          <w:sz w:val="18"/>
          <w:szCs w:val="18"/>
        </w:rPr>
        <w:t>3.5.8</w:t>
        <w:tab/>
        <w:t>Agente público do órgão ou entidade licitante;</w:t>
      </w:r>
      <w:bookmarkEnd w:id="10"/>
    </w:p>
    <w:p>
      <w:pPr>
        <w:pStyle w:val="Nvel3-R"/>
        <w:numPr>
          <w:ilvl w:val="0"/>
          <w:numId w:val="0"/>
        </w:numPr>
        <w:spacing w:before="0" w:after="0"/>
        <w:ind w:firstLine="708" w:left="0"/>
        <w:rPr>
          <w:color w:themeColor="text1" w:val="000000"/>
          <w:sz w:val="18"/>
          <w:szCs w:val="18"/>
        </w:rPr>
      </w:pPr>
      <w:r>
        <w:rPr>
          <w:color w:themeColor="text1" w:val="000000"/>
          <w:sz w:val="18"/>
          <w:szCs w:val="18"/>
        </w:rPr>
        <w:t>3.5.9</w:t>
        <w:tab/>
      </w:r>
      <w:r>
        <w:rPr>
          <w:i w:val="false"/>
          <w:iCs w:val="false"/>
          <w:color w:themeColor="text1" w:val="000000"/>
          <w:sz w:val="18"/>
          <w:szCs w:val="18"/>
        </w:rPr>
        <w:t>Pessoas jurídicas reunidas em consórcio;</w:t>
      </w:r>
    </w:p>
    <w:p>
      <w:pPr>
        <w:pStyle w:val="Nivel3"/>
        <w:numPr>
          <w:ilvl w:val="0"/>
          <w:numId w:val="0"/>
        </w:numPr>
        <w:spacing w:before="0" w:after="0"/>
        <w:ind w:firstLine="708" w:left="0"/>
        <w:rPr>
          <w:sz w:val="18"/>
          <w:szCs w:val="18"/>
        </w:rPr>
      </w:pPr>
      <w:r>
        <w:rPr>
          <w:sz w:val="18"/>
          <w:szCs w:val="18"/>
        </w:rPr>
        <w:t>3.5.10</w:t>
        <w:tab/>
        <w:t>Organizações da Sociedade Civil de Interesse Público - OSCIP, atuando nessa condição;</w:t>
      </w:r>
    </w:p>
    <w:p>
      <w:pPr>
        <w:pStyle w:val="Nivel3"/>
        <w:numPr>
          <w:ilvl w:val="0"/>
          <w:numId w:val="0"/>
        </w:numPr>
        <w:spacing w:before="0" w:after="0"/>
        <w:ind w:firstLine="708" w:left="0"/>
        <w:rPr>
          <w:sz w:val="18"/>
          <w:szCs w:val="18"/>
        </w:rPr>
      </w:pPr>
      <w:r>
        <w:rPr>
          <w:sz w:val="18"/>
          <w:szCs w:val="18"/>
        </w:rPr>
        <w:t>3.5.11</w:t>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4" w:tooltip="http://www.planalto.gov.br/ccivil_03/_ato2019-2022/2021/lei/L14133.htm#art9§1&quot; l &quot;art9§1">
        <w:r>
          <w:rPr>
            <w:rStyle w:val="Style"/>
            <w:color w:themeColor="hyperlink" w:val="0000FF"/>
            <w:sz w:val="18"/>
            <w:szCs w:val="18"/>
            <w:u w:val="single"/>
          </w:rPr>
          <w:t>§ 1º do art. 9º da Lei nº 14.133, de 2021</w:t>
        </w:r>
      </w:hyperlink>
      <w:r>
        <w:rPr>
          <w:sz w:val="18"/>
          <w:szCs w:val="18"/>
        </w:rPr>
        <w:t>.</w:t>
      </w:r>
    </w:p>
    <w:p>
      <w:pPr>
        <w:pStyle w:val="Nivel2"/>
        <w:numPr>
          <w:ilvl w:val="0"/>
          <w:numId w:val="0"/>
        </w:numPr>
        <w:spacing w:before="0" w:after="0"/>
        <w:ind w:hanging="0" w:left="0"/>
        <w:rPr>
          <w:sz w:val="18"/>
          <w:szCs w:val="18"/>
        </w:rPr>
      </w:pPr>
      <w:bookmarkStart w:id="11" w:name="art14§2"/>
      <w:bookmarkStart w:id="12" w:name="art14§3"/>
      <w:bookmarkEnd w:id="11"/>
      <w:bookmarkEnd w:id="12"/>
      <w:r>
        <w:rPr>
          <w:sz w:val="18"/>
          <w:szCs w:val="18"/>
        </w:rPr>
        <w:t>3.6</w:t>
        <w:tab/>
        <w:t>Equiparam-se aos autores do projeto as empresas integrantes do mesmo grupo econômico.</w:t>
      </w:r>
      <w:bookmarkStart w:id="13" w:name="art14§4"/>
      <w:bookmarkEnd w:id="13"/>
    </w:p>
    <w:p>
      <w:pPr>
        <w:pStyle w:val="Nivel2"/>
        <w:numPr>
          <w:ilvl w:val="0"/>
          <w:numId w:val="0"/>
        </w:numPr>
        <w:spacing w:before="0" w:after="0"/>
        <w:ind w:hanging="0" w:left="0"/>
        <w:rPr>
          <w:sz w:val="18"/>
          <w:szCs w:val="18"/>
        </w:rPr>
      </w:pPr>
      <w:bookmarkStart w:id="14" w:name="art14§5"/>
      <w:bookmarkEnd w:id="14"/>
      <w:r>
        <w:rPr>
          <w:sz w:val="18"/>
          <w:szCs w:val="18"/>
        </w:rPr>
        <w:t>3.7</w:t>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5" w:tooltip="http://www.planalto.gov.br/ccivil_03/_ato2019-2022/2021/lei/L14133.htm">
        <w:r>
          <w:rPr>
            <w:rStyle w:val="Style"/>
            <w:color w:themeColor="hyperlink" w:val="0000FF"/>
            <w:sz w:val="18"/>
            <w:szCs w:val="18"/>
            <w:u w:val="single"/>
          </w:rPr>
          <w:t>Lei nº 14.133/2021</w:t>
        </w:r>
      </w:hyperlink>
      <w:r>
        <w:rPr>
          <w:sz w:val="18"/>
          <w:szCs w:val="18"/>
        </w:rPr>
        <w:t>.</w:t>
      </w:r>
    </w:p>
    <w:p>
      <w:pPr>
        <w:pStyle w:val="Nivel2"/>
        <w:numPr>
          <w:ilvl w:val="0"/>
          <w:numId w:val="0"/>
        </w:numPr>
        <w:spacing w:before="0" w:after="0"/>
        <w:ind w:hanging="0" w:left="0"/>
        <w:rPr>
          <w:sz w:val="18"/>
          <w:szCs w:val="18"/>
        </w:rPr>
      </w:pPr>
      <w:r>
        <w:rPr>
          <w:sz w:val="18"/>
          <w:szCs w:val="18"/>
        </w:rPr>
        <w:t>3.8      A participação nesta licitação implica pleno conhecimento e aceitação de todas as condições estabelecidas neste Edital, no Termo de Referência, na Minuta Contratual e nos demais anexos, responsabilizando-se a licitante pela elaboração de sua proposta considerando todas as exigências técnicas, operacionais e legais necessárias à perfeita execução do objeto.</w:t>
      </w:r>
    </w:p>
    <w:p>
      <w:pPr>
        <w:pStyle w:val="Nivel2"/>
        <w:numPr>
          <w:ilvl w:val="0"/>
          <w:numId w:val="0"/>
        </w:numPr>
        <w:ind w:hanging="0" w:left="0"/>
        <w:rPr>
          <w:sz w:val="18"/>
          <w:szCs w:val="18"/>
        </w:rPr>
      </w:pPr>
      <w:r>
        <w:rPr>
          <w:sz w:val="18"/>
          <w:szCs w:val="18"/>
        </w:rPr>
        <w:t>3.9      A licitante declara, ao apresentar sua proposta, que considerou na composição dos preços todos os custos diretos e indiretos necessários à execução contratual, incluindo, entre outros:</w:t>
      </w:r>
    </w:p>
    <w:p>
      <w:pPr>
        <w:pStyle w:val="Nivel2"/>
        <w:numPr>
          <w:ilvl w:val="0"/>
          <w:numId w:val="15"/>
        </w:numPr>
        <w:spacing w:before="0" w:after="0"/>
        <w:rPr>
          <w:sz w:val="18"/>
          <w:szCs w:val="18"/>
        </w:rPr>
      </w:pPr>
      <w:r>
        <w:rPr>
          <w:sz w:val="18"/>
          <w:szCs w:val="18"/>
        </w:rPr>
        <w:t xml:space="preserve">combustível; </w:t>
      </w:r>
    </w:p>
    <w:p>
      <w:pPr>
        <w:pStyle w:val="Nivel2"/>
        <w:numPr>
          <w:ilvl w:val="0"/>
          <w:numId w:val="15"/>
        </w:numPr>
        <w:spacing w:before="0" w:after="0"/>
        <w:rPr>
          <w:sz w:val="18"/>
          <w:szCs w:val="18"/>
        </w:rPr>
      </w:pPr>
      <w:r>
        <w:rPr>
          <w:sz w:val="18"/>
          <w:szCs w:val="18"/>
        </w:rPr>
        <w:t xml:space="preserve">lubrificantes; </w:t>
      </w:r>
    </w:p>
    <w:p>
      <w:pPr>
        <w:pStyle w:val="Nivel2"/>
        <w:numPr>
          <w:ilvl w:val="0"/>
          <w:numId w:val="15"/>
        </w:numPr>
        <w:spacing w:before="0" w:after="0"/>
        <w:rPr>
          <w:sz w:val="18"/>
          <w:szCs w:val="18"/>
        </w:rPr>
      </w:pPr>
      <w:r>
        <w:rPr>
          <w:sz w:val="18"/>
          <w:szCs w:val="18"/>
        </w:rPr>
        <w:t xml:space="preserve">manutenção preventiva e corretiva; </w:t>
      </w:r>
    </w:p>
    <w:p>
      <w:pPr>
        <w:pStyle w:val="Nivel2"/>
        <w:numPr>
          <w:ilvl w:val="0"/>
          <w:numId w:val="15"/>
        </w:numPr>
        <w:spacing w:before="0" w:after="0"/>
        <w:rPr>
          <w:sz w:val="18"/>
          <w:szCs w:val="18"/>
        </w:rPr>
      </w:pPr>
      <w:r>
        <w:rPr>
          <w:sz w:val="18"/>
          <w:szCs w:val="18"/>
        </w:rPr>
        <w:t xml:space="preserve">pneus; </w:t>
      </w:r>
    </w:p>
    <w:p>
      <w:pPr>
        <w:pStyle w:val="Nivel2"/>
        <w:numPr>
          <w:ilvl w:val="0"/>
          <w:numId w:val="15"/>
        </w:numPr>
        <w:spacing w:before="0" w:after="0"/>
        <w:rPr>
          <w:sz w:val="18"/>
          <w:szCs w:val="18"/>
        </w:rPr>
      </w:pPr>
      <w:r>
        <w:rPr>
          <w:sz w:val="18"/>
          <w:szCs w:val="18"/>
        </w:rPr>
        <w:t xml:space="preserve">depreciação da frota; </w:t>
      </w:r>
    </w:p>
    <w:p>
      <w:pPr>
        <w:pStyle w:val="Nivel2"/>
        <w:numPr>
          <w:ilvl w:val="0"/>
          <w:numId w:val="15"/>
        </w:numPr>
        <w:spacing w:before="0" w:after="0"/>
        <w:rPr>
          <w:sz w:val="18"/>
          <w:szCs w:val="18"/>
        </w:rPr>
      </w:pPr>
      <w:r>
        <w:rPr>
          <w:sz w:val="18"/>
          <w:szCs w:val="18"/>
        </w:rPr>
        <w:t xml:space="preserve">mão de obra; </w:t>
      </w:r>
    </w:p>
    <w:p>
      <w:pPr>
        <w:pStyle w:val="Nivel2"/>
        <w:numPr>
          <w:ilvl w:val="0"/>
          <w:numId w:val="15"/>
        </w:numPr>
        <w:spacing w:before="0" w:after="0"/>
        <w:rPr>
          <w:sz w:val="18"/>
          <w:szCs w:val="18"/>
        </w:rPr>
      </w:pPr>
      <w:r>
        <w:rPr>
          <w:sz w:val="18"/>
          <w:szCs w:val="18"/>
        </w:rPr>
        <w:t xml:space="preserve">encargos trabalhistas; </w:t>
      </w:r>
    </w:p>
    <w:p>
      <w:pPr>
        <w:pStyle w:val="Nivel2"/>
        <w:numPr>
          <w:ilvl w:val="0"/>
          <w:numId w:val="15"/>
        </w:numPr>
        <w:spacing w:before="0" w:after="0"/>
        <w:rPr>
          <w:sz w:val="18"/>
          <w:szCs w:val="18"/>
        </w:rPr>
      </w:pPr>
      <w:r>
        <w:rPr>
          <w:sz w:val="18"/>
          <w:szCs w:val="18"/>
        </w:rPr>
        <w:t xml:space="preserve">encargos previdenciários; </w:t>
      </w:r>
    </w:p>
    <w:p>
      <w:pPr>
        <w:pStyle w:val="Nivel2"/>
        <w:numPr>
          <w:ilvl w:val="0"/>
          <w:numId w:val="15"/>
        </w:numPr>
        <w:spacing w:before="0" w:after="0"/>
        <w:rPr>
          <w:sz w:val="18"/>
          <w:szCs w:val="18"/>
        </w:rPr>
      </w:pPr>
      <w:r>
        <w:rPr>
          <w:sz w:val="18"/>
          <w:szCs w:val="18"/>
        </w:rPr>
        <w:t xml:space="preserve">tributos; </w:t>
      </w:r>
    </w:p>
    <w:p>
      <w:pPr>
        <w:pStyle w:val="Nivel2"/>
        <w:numPr>
          <w:ilvl w:val="0"/>
          <w:numId w:val="15"/>
        </w:numPr>
        <w:spacing w:before="0" w:after="0"/>
        <w:rPr>
          <w:sz w:val="18"/>
          <w:szCs w:val="18"/>
        </w:rPr>
      </w:pPr>
      <w:r>
        <w:rPr>
          <w:sz w:val="18"/>
          <w:szCs w:val="18"/>
        </w:rPr>
        <w:t xml:space="preserve">seguros; </w:t>
      </w:r>
    </w:p>
    <w:p>
      <w:pPr>
        <w:pStyle w:val="Nivel2"/>
        <w:numPr>
          <w:ilvl w:val="0"/>
          <w:numId w:val="15"/>
        </w:numPr>
        <w:spacing w:before="0" w:after="0"/>
        <w:rPr>
          <w:sz w:val="18"/>
          <w:szCs w:val="18"/>
        </w:rPr>
      </w:pPr>
      <w:r>
        <w:rPr>
          <w:sz w:val="18"/>
          <w:szCs w:val="18"/>
        </w:rPr>
        <w:t xml:space="preserve">licenciamento; </w:t>
      </w:r>
    </w:p>
    <w:p>
      <w:pPr>
        <w:pStyle w:val="Nivel2"/>
        <w:numPr>
          <w:ilvl w:val="0"/>
          <w:numId w:val="15"/>
        </w:numPr>
        <w:spacing w:before="0" w:after="0"/>
        <w:rPr>
          <w:sz w:val="18"/>
          <w:szCs w:val="18"/>
        </w:rPr>
      </w:pPr>
      <w:r>
        <w:rPr>
          <w:sz w:val="18"/>
          <w:szCs w:val="18"/>
        </w:rPr>
        <w:t xml:space="preserve">despesas administrativas; </w:t>
      </w:r>
    </w:p>
    <w:p>
      <w:pPr>
        <w:pStyle w:val="Nivel2"/>
        <w:numPr>
          <w:ilvl w:val="0"/>
          <w:numId w:val="15"/>
        </w:numPr>
        <w:spacing w:before="0" w:after="0"/>
        <w:rPr>
          <w:sz w:val="18"/>
          <w:szCs w:val="18"/>
        </w:rPr>
      </w:pPr>
      <w:r>
        <w:rPr>
          <w:sz w:val="18"/>
          <w:szCs w:val="18"/>
        </w:rPr>
        <w:t xml:space="preserve">lucro; </w:t>
      </w:r>
    </w:p>
    <w:p>
      <w:pPr>
        <w:pStyle w:val="Nivel2"/>
        <w:numPr>
          <w:ilvl w:val="0"/>
          <w:numId w:val="15"/>
        </w:numPr>
        <w:spacing w:before="0" w:after="0"/>
        <w:rPr>
          <w:sz w:val="18"/>
          <w:szCs w:val="18"/>
        </w:rPr>
      </w:pPr>
      <w:r>
        <w:rPr>
          <w:sz w:val="18"/>
          <w:szCs w:val="18"/>
        </w:rPr>
        <w:t>demais custos inerentes à prestação dos serviços.</w:t>
      </w:r>
    </w:p>
    <w:p>
      <w:pPr>
        <w:pStyle w:val="Nivel2"/>
        <w:numPr>
          <w:ilvl w:val="0"/>
          <w:numId w:val="0"/>
        </w:numPr>
        <w:spacing w:before="0" w:after="0"/>
        <w:ind w:hanging="0" w:left="720"/>
        <w:rPr>
          <w:sz w:val="18"/>
          <w:szCs w:val="18"/>
        </w:rPr>
      </w:pPr>
      <w:r>
        <w:rPr>
          <w:sz w:val="18"/>
          <w:szCs w:val="18"/>
        </w:rPr>
      </w:r>
    </w:p>
    <w:p>
      <w:pPr>
        <w:pStyle w:val="Nivel2"/>
        <w:numPr>
          <w:ilvl w:val="0"/>
          <w:numId w:val="0"/>
        </w:numPr>
        <w:spacing w:before="0" w:after="0"/>
        <w:ind w:hanging="0" w:left="720"/>
        <w:rPr>
          <w:sz w:val="18"/>
          <w:szCs w:val="18"/>
        </w:rPr>
      </w:pPr>
      <w:r>
        <w:rPr>
          <w:sz w:val="18"/>
          <w:szCs w:val="18"/>
        </w:rPr>
        <w:t>3.10 A participação na presente licitação pressupõe que a licitante possui conhecimento das condições de execução dos serviços, incluindo as características dos itinerários, das vias urbanas e rurais, das estradas pavimentadas e não pavimentadas, das distâncias estimadas e das demais condições operacionais descritas no Termo de Referência.</w:t>
      </w:r>
    </w:p>
    <w:p>
      <w:pPr>
        <w:pStyle w:val="Nivel2"/>
        <w:numPr>
          <w:ilvl w:val="0"/>
          <w:numId w:val="0"/>
        </w:numPr>
        <w:spacing w:before="0" w:after="0"/>
        <w:ind w:hanging="0" w:left="720"/>
        <w:rPr>
          <w:sz w:val="18"/>
          <w:szCs w:val="18"/>
        </w:rPr>
      </w:pPr>
      <w:r>
        <w:rPr>
          <w:sz w:val="18"/>
          <w:szCs w:val="18"/>
        </w:rPr>
        <w:t>3.11     A alegação de desconhecimento das condições de execução do objeto não será aceita como fundamento para descumprimento das obrigações assumidas ou para formulação de pedidos de alteração contratual, ressalvadas as hipóteses de fatos supervenientes imprevisíveis ou previsíveis de consequências incalculáveis, nos termos da Lei Federal nº 14.133/2021.</w:t>
      </w:r>
    </w:p>
    <w:p>
      <w:pPr>
        <w:pStyle w:val="Nivel2"/>
        <w:numPr>
          <w:ilvl w:val="0"/>
          <w:numId w:val="0"/>
        </w:numPr>
        <w:ind w:hanging="0" w:left="720"/>
        <w:rPr>
          <w:sz w:val="18"/>
          <w:szCs w:val="18"/>
        </w:rPr>
      </w:pPr>
      <w:r>
        <w:rPr>
          <w:sz w:val="18"/>
          <w:szCs w:val="18"/>
        </w:rPr>
        <w:t>3.12   A Administração poderá disponibilizar às licitantes, mediante solicitação, informações complementares acerca dos itinerários, mapas, localização das linhas e demais elementos técnicos constantes do Termo de Referência, sem prejuízo da realização de visita técnica facultativa, quando prevista neste Edital.</w:t>
      </w:r>
    </w:p>
    <w:p>
      <w:pPr>
        <w:pStyle w:val="Nivel2"/>
        <w:numPr>
          <w:ilvl w:val="0"/>
          <w:numId w:val="0"/>
        </w:numPr>
        <w:spacing w:lineRule="auto" w:line="240" w:before="0" w:after="0"/>
        <w:ind w:hanging="0" w:left="0"/>
        <w:rPr>
          <w:sz w:val="18"/>
          <w:szCs w:val="18"/>
        </w:rPr>
      </w:pPr>
      <w:r>
        <w:rPr>
          <w:sz w:val="18"/>
          <w:szCs w:val="18"/>
        </w:rPr>
      </w:r>
    </w:p>
    <w:p>
      <w:pPr>
        <w:pStyle w:val="Nivel01"/>
        <w:numPr>
          <w:ilvl w:val="0"/>
          <w:numId w:val="14"/>
        </w:numPr>
        <w:spacing w:lineRule="auto" w:line="240" w:before="0" w:after="0"/>
        <w:ind w:hanging="360" w:left="1134"/>
        <w:rPr>
          <w:color w:val="000000"/>
          <w:sz w:val="18"/>
          <w:szCs w:val="18"/>
        </w:rPr>
      </w:pPr>
      <w:bookmarkStart w:id="15" w:name="_Toc135469226"/>
      <w:r>
        <w:rPr>
          <w:color w:val="000000"/>
          <w:sz w:val="18"/>
          <w:szCs w:val="18"/>
        </w:rPr>
        <w:t>DA APRESENTAÇÃO DA PROPOSTA E DOS DOCUMENTOS DE HABILITAÇÃO</w:t>
      </w:r>
      <w:bookmarkEnd w:id="15"/>
    </w:p>
    <w:p>
      <w:pPr>
        <w:pStyle w:val="Nivel01"/>
        <w:numPr>
          <w:ilvl w:val="0"/>
          <w:numId w:val="0"/>
        </w:numPr>
        <w:spacing w:lineRule="auto" w:line="240" w:before="0" w:after="0"/>
        <w:ind w:hanging="0" w:left="1429"/>
        <w:rPr>
          <w:color w:val="000000"/>
          <w:sz w:val="18"/>
          <w:szCs w:val="18"/>
        </w:rPr>
      </w:pPr>
      <w:r>
        <w:rPr>
          <w:color w:val="000000"/>
          <w:sz w:val="18"/>
          <w:szCs w:val="18"/>
        </w:rPr>
      </w:r>
    </w:p>
    <w:p>
      <w:pPr>
        <w:pStyle w:val="Nivel01"/>
        <w:numPr>
          <w:ilvl w:val="1"/>
          <w:numId w:val="17"/>
        </w:numPr>
        <w:spacing w:lineRule="auto" w:line="240" w:before="0" w:after="0"/>
        <w:ind w:hanging="360" w:left="1418"/>
        <w:rPr>
          <w:color w:val="000000"/>
          <w:sz w:val="18"/>
          <w:szCs w:val="18"/>
        </w:rPr>
      </w:pPr>
      <w:bookmarkStart w:id="16" w:name="_Ref113886867"/>
      <w:r>
        <w:rPr>
          <w:b w:val="false"/>
          <w:bCs w:val="false"/>
          <w:color w:val="000000"/>
          <w:sz w:val="18"/>
          <w:szCs w:val="18"/>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pPr>
        <w:pStyle w:val="Nivel01"/>
        <w:numPr>
          <w:ilvl w:val="1"/>
          <w:numId w:val="17"/>
        </w:numPr>
        <w:spacing w:lineRule="auto" w:line="240" w:before="0" w:after="0"/>
        <w:ind w:hanging="360" w:left="1418"/>
        <w:rPr>
          <w:color w:val="000000"/>
          <w:sz w:val="18"/>
          <w:szCs w:val="18"/>
        </w:rPr>
      </w:pPr>
      <w:bookmarkStart w:id="17" w:name="_Ref113968921"/>
      <w:r>
        <w:rPr>
          <w:b w:val="false"/>
          <w:bCs w:val="false"/>
          <w:color w:themeColor="text1" w:val="000000"/>
          <w:sz w:val="18"/>
          <w:szCs w:val="18"/>
        </w:rPr>
        <w:t>No cadastramento da proposta inicial, o licitante declarará, em campo próprio do sistema, que:</w:t>
      </w:r>
      <w:bookmarkEnd w:id="17"/>
    </w:p>
    <w:p>
      <w:pPr>
        <w:pStyle w:val="Nivel01"/>
        <w:numPr>
          <w:ilvl w:val="2"/>
          <w:numId w:val="17"/>
        </w:numPr>
        <w:spacing w:lineRule="auto" w:line="240" w:before="0" w:after="0"/>
        <w:ind w:hanging="720" w:left="2127"/>
        <w:rPr>
          <w:b w:val="false"/>
          <w:bCs w:val="false"/>
          <w:color w:val="000000"/>
          <w:sz w:val="18"/>
          <w:szCs w:val="18"/>
        </w:rPr>
      </w:pPr>
      <w:r>
        <w:rPr>
          <w:b w:val="false"/>
          <w:bCs w:val="false"/>
          <w:color w:val="auto"/>
          <w:sz w:val="18"/>
          <w:szCs w:val="1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pPr>
        <w:pStyle w:val="Nivel01"/>
        <w:numPr>
          <w:ilvl w:val="2"/>
          <w:numId w:val="17"/>
        </w:numPr>
        <w:spacing w:lineRule="auto" w:line="240" w:before="0" w:after="0"/>
        <w:ind w:hanging="720" w:left="2127"/>
        <w:rPr>
          <w:b w:val="false"/>
          <w:bCs w:val="false"/>
          <w:color w:val="000000"/>
          <w:sz w:val="18"/>
          <w:szCs w:val="18"/>
        </w:rPr>
      </w:pPr>
      <w:r>
        <w:rPr>
          <w:b w:val="false"/>
          <w:bCs w:val="false"/>
          <w:color w:val="auto"/>
          <w:sz w:val="18"/>
          <w:szCs w:val="18"/>
        </w:rPr>
        <w:t xml:space="preserve">Não emprega menor de 18 anos em trabalho noturno, perigoso ou insalubre e não emprega menor de 16 anos, salvo menor, a partir de 14 anos, na condição de aprendiz, nos termos do </w:t>
      </w:r>
      <w:hyperlink r:id="rId6" w:tooltip="https://www.planalto.gov.br/ccivil_03/constituicao/constituicaocompilado.htm#art7&quot; l &quot;art7">
        <w:r>
          <w:rPr>
            <w:rStyle w:val="Style"/>
            <w:b w:val="false"/>
            <w:bCs w:val="false"/>
            <w:color w:val="auto"/>
            <w:sz w:val="18"/>
            <w:szCs w:val="18"/>
            <w:u w:val="single"/>
          </w:rPr>
          <w:t>artigo 7°, XXXIII, da Constituição</w:t>
        </w:r>
      </w:hyperlink>
      <w:r>
        <w:rPr>
          <w:b w:val="false"/>
          <w:bCs w:val="false"/>
          <w:color w:val="auto"/>
          <w:sz w:val="18"/>
          <w:szCs w:val="18"/>
        </w:rPr>
        <w:t>;</w:t>
      </w:r>
    </w:p>
    <w:p>
      <w:pPr>
        <w:pStyle w:val="Nivel01"/>
        <w:numPr>
          <w:ilvl w:val="2"/>
          <w:numId w:val="17"/>
        </w:numPr>
        <w:spacing w:lineRule="auto" w:line="240" w:before="0" w:after="0"/>
        <w:ind w:hanging="720" w:left="2127"/>
        <w:rPr>
          <w:b w:val="false"/>
          <w:bCs w:val="false"/>
          <w:color w:val="000000"/>
          <w:sz w:val="18"/>
          <w:szCs w:val="18"/>
        </w:rPr>
      </w:pPr>
      <w:r>
        <w:rPr>
          <w:b w:val="false"/>
          <w:bCs w:val="false"/>
          <w:color w:val="auto"/>
          <w:sz w:val="18"/>
          <w:szCs w:val="18"/>
        </w:rPr>
        <w:t xml:space="preserve">Não possui empregados executando trabalho degradante ou forçado, observando o disposto nos </w:t>
      </w:r>
      <w:hyperlink r:id="rId7" w:tooltip="https://www.planalto.gov.br/ccivil_03/constituicao/constituicaocompilado.htm">
        <w:r>
          <w:rPr>
            <w:rStyle w:val="Style"/>
            <w:b w:val="false"/>
            <w:bCs w:val="false"/>
            <w:color w:val="auto"/>
            <w:sz w:val="18"/>
            <w:szCs w:val="18"/>
            <w:u w:val="single"/>
          </w:rPr>
          <w:t>incisos III e IV do art. 1º e no inciso III do art. 5º da Constituição Federal</w:t>
        </w:r>
      </w:hyperlink>
      <w:r>
        <w:rPr>
          <w:b w:val="false"/>
          <w:bCs w:val="false"/>
          <w:color w:val="auto"/>
          <w:sz w:val="18"/>
          <w:szCs w:val="18"/>
          <w:u w:val="single"/>
        </w:rPr>
        <w:t>.</w:t>
      </w:r>
    </w:p>
    <w:p>
      <w:pPr>
        <w:pStyle w:val="Nivel01"/>
        <w:numPr>
          <w:ilvl w:val="2"/>
          <w:numId w:val="17"/>
        </w:numPr>
        <w:spacing w:lineRule="auto" w:line="240" w:before="0" w:after="0"/>
        <w:ind w:hanging="720" w:left="2127"/>
        <w:rPr>
          <w:b w:val="false"/>
          <w:bCs w:val="false"/>
          <w:color w:val="000000"/>
          <w:sz w:val="18"/>
          <w:szCs w:val="18"/>
        </w:rPr>
      </w:pPr>
      <w:r>
        <w:rPr>
          <w:b w:val="false"/>
          <w:bCs w:val="false"/>
          <w:color w:val="auto"/>
          <w:sz w:val="18"/>
          <w:szCs w:val="18"/>
        </w:rPr>
        <w:t>Cumpre as exigências de reserva de cargos para pessoa ‘com deficiência e para reabilitado da Previdência Social, previstas em lei e em outras normas específicas.</w:t>
      </w:r>
    </w:p>
    <w:p>
      <w:pPr>
        <w:pStyle w:val="Nvel2-Red"/>
        <w:numPr>
          <w:ilvl w:val="1"/>
          <w:numId w:val="17"/>
        </w:numPr>
        <w:spacing w:lineRule="auto" w:line="240" w:before="0" w:after="0"/>
        <w:ind w:hanging="360" w:left="1418"/>
        <w:rPr>
          <w:i w:val="false"/>
          <w:color w:val="auto"/>
          <w:sz w:val="18"/>
          <w:szCs w:val="18"/>
        </w:rPr>
      </w:pPr>
      <w:bookmarkStart w:id="18" w:name="_Ref117000019"/>
      <w:r>
        <w:rPr>
          <w:i w:val="false"/>
          <w:iCs w:val="false"/>
          <w:color w:val="auto"/>
          <w:sz w:val="18"/>
          <w:szCs w:val="18"/>
        </w:rPr>
        <w:t xml:space="preserve">O licitante organizado em cooperativa deverá declarar, ainda, em campo próprio do sistema eletrônico, que cumpre os requisitos estabelecidos no </w:t>
      </w:r>
      <w:hyperlink r:id="rId8" w:tooltip="http://www.planalto.gov.br/ccivil_03/_ato2019-2022/2021/lei/L14133.htm#art16&quot; l &quot;art16">
        <w:r>
          <w:rPr>
            <w:rStyle w:val="Style"/>
            <w:i w:val="false"/>
            <w:iCs w:val="false"/>
            <w:color w:val="auto"/>
            <w:sz w:val="18"/>
            <w:szCs w:val="18"/>
            <w:u w:val="single"/>
          </w:rPr>
          <w:t>artigo 16 da Lei nº 14.133, de 2021</w:t>
        </w:r>
      </w:hyperlink>
    </w:p>
    <w:p>
      <w:pPr>
        <w:pStyle w:val="Nvel2-Red"/>
        <w:numPr>
          <w:ilvl w:val="1"/>
          <w:numId w:val="17"/>
        </w:numPr>
        <w:spacing w:lineRule="auto" w:line="240" w:before="0" w:after="0"/>
        <w:ind w:hanging="360" w:left="1418"/>
        <w:rPr>
          <w:i w:val="false"/>
          <w:color w:val="auto"/>
          <w:sz w:val="18"/>
          <w:szCs w:val="18"/>
        </w:rPr>
      </w:pPr>
      <w:r>
        <w:rPr>
          <w:i w:val="false"/>
          <w:iCs w:val="false"/>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9" w:tooltip="https://www.planalto.gov.br/ccivil_03/leis/lcp/lcp123.htm#art3&quot; l &quot;art3">
        <w:r>
          <w:rPr>
            <w:rStyle w:val="Style"/>
            <w:i w:val="false"/>
            <w:iCs w:val="false"/>
            <w:color w:val="auto"/>
            <w:sz w:val="18"/>
            <w:szCs w:val="18"/>
            <w:u w:val="single"/>
          </w:rPr>
          <w:t>artigo 3° da Lei Complementar nº 123, de 2006</w:t>
        </w:r>
      </w:hyperlink>
      <w:r>
        <w:rPr>
          <w:i w:val="false"/>
          <w:iCs w:val="false"/>
          <w:color w:val="auto"/>
          <w:sz w:val="18"/>
          <w:szCs w:val="18"/>
        </w:rPr>
        <w:t xml:space="preserve">, estando apto a usufruir do tratamento favorecido estabelecido em seus </w:t>
      </w:r>
      <w:r>
        <w:fldChar w:fldCharType="begin"/>
      </w:r>
      <w:r>
        <w:rPr>
          <w:rStyle w:val="Style"/>
          <w:color w:themeColor="hyperlink" w:val="0000FF"/>
          <w:sz w:val="18"/>
          <w:szCs w:val="18"/>
          <w:u w:val="single"/>
        </w:rPr>
        <w:instrText xml:space="preserve"> HYPERLINK "https://www.planalto.gov.br/ccivil_03/leis/lcp/lcp123.htm" \l "art42"</w:instrText>
      </w:r>
      <w:r>
        <w:rPr>
          <w:rStyle w:val="Style"/>
          <w:color w:themeColor="hyperlink" w:val="0000FF"/>
          <w:sz w:val="18"/>
          <w:szCs w:val="18"/>
          <w:u w:val="single"/>
        </w:rPr>
        <w:fldChar w:fldCharType="separate"/>
      </w:r>
      <w:bookmarkEnd w:id="18"/>
      <w:r>
        <w:rPr>
          <w:rStyle w:val="Style"/>
          <w:color w:themeColor="hyperlink" w:val="0000FF"/>
          <w:sz w:val="18"/>
          <w:szCs w:val="18"/>
          <w:u w:val="single"/>
        </w:rPr>
        <w:t>arts. 42 a 49</w:t>
      </w:r>
      <w:r>
        <w:rPr>
          <w:rStyle w:val="Style"/>
          <w:color w:themeColor="hyperlink" w:val="0000FF"/>
          <w:sz w:val="18"/>
          <w:szCs w:val="18"/>
          <w:u w:val="single"/>
        </w:rPr>
        <w:fldChar w:fldCharType="end"/>
      </w:r>
      <w:r>
        <w:rPr>
          <w:i w:val="false"/>
          <w:iCs w:val="false"/>
          <w:color w:val="auto"/>
          <w:sz w:val="18"/>
          <w:szCs w:val="18"/>
        </w:rPr>
        <w:t xml:space="preserve">, observado o disposto nos </w:t>
      </w:r>
      <w:hyperlink r:id="rId10" w:tooltip="http://www.planalto.gov.br/ccivil_03/_ato2019-2022/2021/lei/L14133.htm#art4§1&quot; l &quot;art4§1">
        <w:r>
          <w:rPr>
            <w:rStyle w:val="Style"/>
            <w:i w:val="false"/>
            <w:iCs w:val="false"/>
            <w:color w:val="auto"/>
            <w:sz w:val="18"/>
            <w:szCs w:val="18"/>
            <w:u w:val="single"/>
          </w:rPr>
          <w:t>§§ 1º ao 3º do art. 4º, da Lei n.º 14.133, de 2021.</w:t>
        </w:r>
      </w:hyperlink>
    </w:p>
    <w:p>
      <w:pPr>
        <w:pStyle w:val="Nvel2-Red"/>
        <w:numPr>
          <w:ilvl w:val="1"/>
          <w:numId w:val="17"/>
        </w:numPr>
        <w:spacing w:lineRule="auto" w:line="240" w:before="0" w:after="0"/>
        <w:ind w:hanging="360" w:left="1418"/>
        <w:rPr>
          <w:i w:val="false"/>
          <w:color w:themeColor="text1" w:val="000000"/>
          <w:sz w:val="18"/>
          <w:szCs w:val="18"/>
        </w:rPr>
      </w:pPr>
      <w:r>
        <w:rPr>
          <w:i w:val="false"/>
          <w:iCs w:val="false"/>
          <w:color w:themeColor="text1" w:val="000000"/>
          <w:sz w:val="18"/>
          <w:szCs w:val="18"/>
        </w:rPr>
        <w:t xml:space="preserve">A falsidade da declaração de que trata os itens anteriores sujeitará o licitante às sanções previstas na </w:t>
      </w:r>
      <w:hyperlink r:id="rId11" w:tooltip="http://www.planalto.gov.br/ccivil_03/_ato2019-2022/2021/lei/L14133.htm">
        <w:r>
          <w:rPr>
            <w:rStyle w:val="Style"/>
            <w:i w:val="false"/>
            <w:iCs w:val="false"/>
            <w:color w:themeColor="text1" w:val="000000"/>
            <w:sz w:val="18"/>
            <w:szCs w:val="18"/>
            <w:u w:val="single"/>
          </w:rPr>
          <w:t>Lei nº 14.133, de 2021</w:t>
        </w:r>
      </w:hyperlink>
      <w:r>
        <w:rPr>
          <w:i w:val="false"/>
          <w:iCs w:val="false"/>
          <w:color w:themeColor="text1" w:val="000000"/>
          <w:sz w:val="18"/>
          <w:szCs w:val="18"/>
        </w:rPr>
        <w:t>, e neste Edital.</w:t>
      </w:r>
    </w:p>
    <w:p>
      <w:pPr>
        <w:pStyle w:val="Nvel2-Red"/>
        <w:numPr>
          <w:ilvl w:val="1"/>
          <w:numId w:val="17"/>
        </w:numPr>
        <w:spacing w:lineRule="auto" w:line="240" w:before="0" w:after="0"/>
        <w:ind w:hanging="360" w:left="1418"/>
        <w:rPr>
          <w:i w:val="false"/>
          <w:color w:themeColor="text1" w:val="000000"/>
          <w:sz w:val="18"/>
          <w:szCs w:val="18"/>
        </w:rPr>
      </w:pPr>
      <w:r>
        <w:rPr>
          <w:i w:val="false"/>
          <w:iCs w:val="false"/>
          <w:color w:themeColor="text1" w:val="000000"/>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Nvel2-Red"/>
        <w:numPr>
          <w:ilvl w:val="1"/>
          <w:numId w:val="17"/>
        </w:numPr>
        <w:spacing w:lineRule="auto" w:line="240" w:before="0" w:after="0"/>
        <w:ind w:hanging="360" w:left="1418"/>
        <w:rPr>
          <w:i w:val="false"/>
          <w:color w:themeColor="text1" w:val="000000"/>
          <w:sz w:val="18"/>
          <w:szCs w:val="18"/>
        </w:rPr>
      </w:pPr>
      <w:r>
        <w:rPr>
          <w:i w:val="false"/>
          <w:iCs w:val="false"/>
          <w:color w:themeColor="text1" w:val="000000"/>
          <w:sz w:val="18"/>
          <w:szCs w:val="18"/>
        </w:rPr>
        <w:t>Não haverá ordem de classificação na etapa de apresentação da proposta e dos documentos de habilitação pelo licitante, o que ocorrerá somente após os procedimentos de abertura da sessão pública e da fase de envio de lances.</w:t>
      </w:r>
    </w:p>
    <w:p>
      <w:pPr>
        <w:pStyle w:val="Nvel2-Red"/>
        <w:numPr>
          <w:ilvl w:val="1"/>
          <w:numId w:val="17"/>
        </w:numPr>
        <w:spacing w:lineRule="auto" w:line="240" w:before="0" w:after="0"/>
        <w:ind w:hanging="360" w:left="1418"/>
        <w:rPr>
          <w:i w:val="false"/>
          <w:color w:themeColor="text1" w:val="000000"/>
          <w:sz w:val="18"/>
          <w:szCs w:val="18"/>
        </w:rPr>
      </w:pPr>
      <w:r>
        <w:rPr>
          <w:i w:val="false"/>
          <w:iCs w:val="false"/>
          <w:color w:themeColor="text1" w:val="000000"/>
          <w:sz w:val="18"/>
          <w:szCs w:val="18"/>
        </w:rPr>
        <w:t>Serão disponibilizados para acesso público os documentos que compõem a proposta dos licitantes convocados para apresentação de propostas, após a fase de envio de lances.</w:t>
      </w:r>
    </w:p>
    <w:p>
      <w:pPr>
        <w:pStyle w:val="Nvel2-Red"/>
        <w:numPr>
          <w:ilvl w:val="1"/>
          <w:numId w:val="17"/>
        </w:numPr>
        <w:spacing w:lineRule="auto" w:line="240" w:before="0" w:after="0"/>
        <w:ind w:hanging="360" w:left="1418"/>
        <w:rPr>
          <w:i w:val="false"/>
          <w:color w:themeColor="text1" w:val="000000"/>
          <w:sz w:val="18"/>
          <w:szCs w:val="18"/>
        </w:rPr>
      </w:pPr>
      <w:bookmarkStart w:id="19" w:name="_Ref116992247"/>
      <w:r>
        <w:rPr>
          <w:i w:val="false"/>
          <w:iCs w:val="false"/>
          <w:color w:themeColor="text1" w:val="000000"/>
          <w:sz w:val="18"/>
          <w:szCs w:val="18"/>
        </w:rPr>
        <w:t>Desde que disponibilizada a funcionalidade no sistema, o licitante poderá parametrizar o seu valor final mínimo ou o seu percentual de desconto máximo quando do cadastramento da proposta e obedecerá à seguinte regra:</w:t>
      </w:r>
      <w:bookmarkEnd w:id="19"/>
    </w:p>
    <w:p>
      <w:pPr>
        <w:pStyle w:val="Nvel2-Red"/>
        <w:numPr>
          <w:ilvl w:val="1"/>
          <w:numId w:val="17"/>
        </w:numPr>
        <w:spacing w:lineRule="auto" w:line="240" w:before="0" w:after="0"/>
        <w:ind w:hanging="360" w:left="1418"/>
        <w:rPr>
          <w:i w:val="false"/>
          <w:color w:themeColor="text1" w:val="000000"/>
          <w:sz w:val="18"/>
          <w:szCs w:val="18"/>
        </w:rPr>
      </w:pPr>
      <w:r>
        <w:rPr>
          <w:i w:val="false"/>
          <w:iCs w:val="false"/>
          <w:color w:themeColor="text1" w:val="000000"/>
          <w:sz w:val="18"/>
          <w:szCs w:val="18"/>
        </w:rPr>
        <w:t xml:space="preserve"> </w:t>
      </w:r>
      <w:r>
        <w:rPr>
          <w:i w:val="false"/>
          <w:iCs w:val="false"/>
          <w:color w:themeColor="text1" w:val="000000"/>
          <w:sz w:val="18"/>
          <w:szCs w:val="18"/>
        </w:rPr>
        <w:t xml:space="preserve">A aplicação do intervalo mínimo de diferença de valores entre os lances, que incidirá tanto em relação aos lances intermediários quanto em relação ao lance que cobrir a melhor oferta; </w:t>
      </w:r>
    </w:p>
    <w:p>
      <w:pPr>
        <w:pStyle w:val="Nvel2-Red"/>
        <w:numPr>
          <w:ilvl w:val="2"/>
          <w:numId w:val="17"/>
        </w:numPr>
        <w:spacing w:lineRule="auto" w:line="240" w:before="0" w:after="0"/>
        <w:ind w:hanging="720" w:left="1985"/>
        <w:rPr>
          <w:i w:val="false"/>
          <w:color w:themeColor="text1" w:val="000000"/>
          <w:sz w:val="18"/>
          <w:szCs w:val="18"/>
        </w:rPr>
      </w:pPr>
      <w:r>
        <w:rPr>
          <w:i w:val="false"/>
          <w:iCs w:val="false"/>
          <w:color w:themeColor="text1" w:val="000000"/>
          <w:sz w:val="18"/>
          <w:szCs w:val="18"/>
        </w:rPr>
        <w:t>Os lances serão de envio automático pelo sistema, respeitado o valor final mínimo, caso estabelecido, e o intervalo de que trata o subitem acima.</w:t>
      </w:r>
    </w:p>
    <w:p>
      <w:pPr>
        <w:pStyle w:val="Nvel2-Red"/>
        <w:numPr>
          <w:ilvl w:val="1"/>
          <w:numId w:val="17"/>
        </w:numPr>
        <w:spacing w:lineRule="auto" w:line="240" w:before="0" w:after="0"/>
        <w:ind w:hanging="360" w:left="1418"/>
        <w:rPr>
          <w:i w:val="false"/>
          <w:color w:themeColor="text1" w:val="000000"/>
          <w:sz w:val="18"/>
          <w:szCs w:val="18"/>
        </w:rPr>
      </w:pPr>
      <w:r>
        <w:rPr>
          <w:i w:val="false"/>
          <w:iCs w:val="false"/>
          <w:color w:themeColor="text1" w:val="000000"/>
          <w:sz w:val="18"/>
          <w:szCs w:val="18"/>
        </w:rPr>
        <w:t>O valor final mínimo parametrizado no sistema poderá ser alterado pelo fornecedor durante a fase de disputa, sendo vedado:</w:t>
      </w:r>
    </w:p>
    <w:p>
      <w:pPr>
        <w:pStyle w:val="Nvel2-Red"/>
        <w:numPr>
          <w:ilvl w:val="2"/>
          <w:numId w:val="17"/>
        </w:numPr>
        <w:spacing w:lineRule="auto" w:line="240" w:before="0" w:after="0"/>
        <w:ind w:hanging="720" w:left="1985"/>
        <w:rPr>
          <w:i w:val="false"/>
          <w:color w:themeColor="text1" w:val="000000"/>
          <w:sz w:val="18"/>
          <w:szCs w:val="18"/>
        </w:rPr>
      </w:pPr>
      <w:r>
        <w:rPr>
          <w:i w:val="false"/>
          <w:iCs w:val="false"/>
          <w:color w:themeColor="text1" w:val="000000"/>
          <w:sz w:val="18"/>
          <w:szCs w:val="18"/>
        </w:rPr>
        <w:t xml:space="preserve">Valor superior a lance já registrado pelo fornecedor no sistema, quando adotado o critério de julgamento por menor preço; </w:t>
      </w:r>
    </w:p>
    <w:p>
      <w:pPr>
        <w:pStyle w:val="Nvel2-Red"/>
        <w:numPr>
          <w:ilvl w:val="1"/>
          <w:numId w:val="17"/>
        </w:numPr>
        <w:spacing w:lineRule="auto" w:line="240" w:before="0" w:after="0"/>
        <w:ind w:hanging="360" w:left="1418"/>
        <w:rPr>
          <w:i w:val="false"/>
          <w:color w:themeColor="text1" w:val="000000"/>
          <w:sz w:val="18"/>
          <w:szCs w:val="18"/>
        </w:rPr>
      </w:pPr>
      <w:r>
        <w:rPr>
          <w:i w:val="false"/>
          <w:iCs w:val="false"/>
          <w:color w:themeColor="text1" w:val="000000"/>
          <w:sz w:val="18"/>
          <w:szCs w:val="18"/>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pPr>
        <w:pStyle w:val="Nvel2-Red"/>
        <w:numPr>
          <w:ilvl w:val="1"/>
          <w:numId w:val="17"/>
        </w:numPr>
        <w:spacing w:lineRule="auto" w:line="240" w:before="0" w:after="0"/>
        <w:ind w:hanging="360" w:left="1560"/>
        <w:rPr>
          <w:i w:val="false"/>
          <w:color w:themeColor="text1" w:val="000000"/>
          <w:sz w:val="18"/>
          <w:szCs w:val="18"/>
        </w:rPr>
      </w:pPr>
      <w:r>
        <w:rPr>
          <w:rFonts w:eastAsia="Times New Roman"/>
          <w:i w:val="false"/>
          <w:iCs w:val="false"/>
          <w:color w:themeColor="text1" w:val="000000"/>
          <w:sz w:val="18"/>
          <w:szCs w:val="18"/>
        </w:rPr>
        <w:t xml:space="preserve">Caberá ao licitante interessado em participar da licitação </w:t>
      </w:r>
      <w:r>
        <w:rPr>
          <w:i w:val="false"/>
          <w:iCs w:val="false"/>
          <w:color w:themeColor="text1" w:val="000000"/>
          <w:sz w:val="18"/>
          <w:szCs w:val="18"/>
        </w:rPr>
        <w:t>acompanhar as operações no sistema eletrônico durante o processo licitatório e se responsabilizar pelo ônus decorrente da perda de negócios diante da inobservância de mensagens emitidas pela Administração ou de sua desconexão.</w:t>
      </w:r>
    </w:p>
    <w:p>
      <w:pPr>
        <w:pStyle w:val="Nvel2-Red"/>
        <w:numPr>
          <w:ilvl w:val="1"/>
          <w:numId w:val="17"/>
        </w:numPr>
        <w:spacing w:lineRule="auto" w:line="240" w:before="0" w:after="0"/>
        <w:ind w:hanging="360" w:left="1560"/>
        <w:rPr>
          <w:i w:val="false"/>
          <w:color w:themeColor="text1" w:val="000000"/>
          <w:sz w:val="18"/>
          <w:szCs w:val="18"/>
        </w:rPr>
      </w:pPr>
      <w:r>
        <w:rPr>
          <w:rFonts w:eastAsia="Times New Roman"/>
          <w:i w:val="false"/>
          <w:iCs w:val="false"/>
          <w:color w:themeColor="text1" w:val="000000"/>
          <w:sz w:val="18"/>
          <w:szCs w:val="18"/>
        </w:rPr>
        <w:t xml:space="preserve">O licitante deverá </w:t>
      </w:r>
      <w:r>
        <w:rPr>
          <w:i w:val="false"/>
          <w:iCs w:val="false"/>
          <w:color w:themeColor="text1" w:val="000000"/>
          <w:sz w:val="18"/>
          <w:szCs w:val="18"/>
        </w:rPr>
        <w:t>comunicar imediatamente ao provedor do sistema qualquer acontecimento que possa comprometer o sigilo ou a segurança, para imediato bloqueio de acesso.</w:t>
      </w:r>
    </w:p>
    <w:p>
      <w:pPr>
        <w:pStyle w:val="Nvel2-Red"/>
        <w:numPr>
          <w:ilvl w:val="1"/>
          <w:numId w:val="17"/>
        </w:numPr>
        <w:spacing w:lineRule="auto" w:line="240" w:before="0" w:after="0"/>
        <w:ind w:hanging="360" w:left="1560"/>
        <w:rPr>
          <w:i w:val="false"/>
          <w:color w:themeColor="text1" w:val="000000"/>
          <w:sz w:val="18"/>
          <w:szCs w:val="18"/>
        </w:rPr>
      </w:pPr>
      <w:r>
        <w:rPr>
          <w:i w:val="false"/>
          <w:color w:themeColor="text1" w:val="000000"/>
          <w:sz w:val="18"/>
          <w:szCs w:val="18"/>
        </w:rPr>
        <w:t>A apresentação da proposta implica plena aceitação de todas as condições estabelecidas neste Edital, no Termo de Referência, na Minuta Contratual e nos demais anexos, responsabilizando-se a licitante pela fiel execução do objeto caso venha a ser contratada.</w:t>
      </w:r>
    </w:p>
    <w:p>
      <w:pPr>
        <w:pStyle w:val="Nvel2-Red"/>
        <w:numPr>
          <w:ilvl w:val="1"/>
          <w:numId w:val="17"/>
        </w:numPr>
        <w:spacing w:lineRule="auto" w:line="240" w:before="0" w:after="0"/>
        <w:ind w:hanging="360" w:left="1560"/>
        <w:rPr>
          <w:i w:val="false"/>
          <w:color w:themeColor="text1" w:val="000000"/>
          <w:sz w:val="18"/>
          <w:szCs w:val="18"/>
        </w:rPr>
      </w:pPr>
      <w:r>
        <w:rPr>
          <w:i w:val="false"/>
          <w:color w:themeColor="text1" w:val="000000"/>
          <w:sz w:val="18"/>
          <w:szCs w:val="18"/>
        </w:rPr>
        <w:t>A proposta deverá ser elaborada considerando todas as condições de execução do objeto, inclusive aquelas relacionadas aos itinerários, quilometragem estimada, tipo de veículo exigido, número estimado de alunos, condições das vias, calendário escolar, custos operacionais, legislação de trânsito e demais exigências constantes do Termo de Referência.</w:t>
      </w:r>
    </w:p>
    <w:p>
      <w:pPr>
        <w:pStyle w:val="Nvel2-Red"/>
        <w:numPr>
          <w:ilvl w:val="1"/>
          <w:numId w:val="17"/>
        </w:numPr>
        <w:spacing w:lineRule="auto" w:line="240" w:before="0" w:after="0"/>
        <w:ind w:hanging="360" w:left="1560"/>
        <w:rPr>
          <w:i w:val="false"/>
          <w:color w:themeColor="text1" w:val="000000"/>
          <w:sz w:val="18"/>
          <w:szCs w:val="18"/>
        </w:rPr>
      </w:pPr>
      <w:r>
        <w:rPr>
          <w:color w:themeColor="text1" w:val="000000"/>
          <w:sz w:val="18"/>
          <w:szCs w:val="18"/>
        </w:rPr>
        <w:t xml:space="preserve"> </w:t>
      </w:r>
      <w:r>
        <w:rPr>
          <w:rFonts w:eastAsia="Times New Roman"/>
          <w:color w:themeColor="text1" w:val="000000"/>
          <w:sz w:val="18"/>
          <w:szCs w:val="18"/>
        </w:rPr>
        <w:t>A licitante deverá considerar, na formação do preço ofertado, todos os custos diretos e indiretos necessários à perfeita execução contratual, incluindo, entre outros:</w:t>
      </w:r>
    </w:p>
    <w:p>
      <w:pPr>
        <w:pStyle w:val="ListParagraph"/>
        <w:suppressAutoHyphens w:val="false"/>
        <w:ind w:left="1418"/>
        <w:rPr>
          <w:rFonts w:ascii="Arial" w:hAnsi="Arial" w:eastAsia="Times New Roman" w:cs="Arial"/>
          <w:sz w:val="18"/>
          <w:szCs w:val="18"/>
        </w:rPr>
      </w:pPr>
      <w:r>
        <w:rPr>
          <w:rFonts w:eastAsia="Times New Roman" w:cs="Arial" w:ascii="Arial" w:hAnsi="Arial"/>
          <w:sz w:val="18"/>
          <w:szCs w:val="18"/>
        </w:rPr>
        <w:t>I – combustível;</w:t>
      </w:r>
    </w:p>
    <w:p>
      <w:pPr>
        <w:pStyle w:val="ListParagraph"/>
        <w:suppressAutoHyphens w:val="false"/>
        <w:spacing w:beforeAutospacing="1" w:afterAutospacing="1"/>
        <w:ind w:left="1418"/>
        <w:contextualSpacing/>
        <w:rPr>
          <w:rFonts w:ascii="Arial" w:hAnsi="Arial" w:eastAsia="Times New Roman" w:cs="Arial"/>
          <w:sz w:val="18"/>
          <w:szCs w:val="18"/>
        </w:rPr>
      </w:pPr>
      <w:r>
        <w:rPr>
          <w:rFonts w:eastAsia="Times New Roman" w:cs="Arial" w:ascii="Arial" w:hAnsi="Arial"/>
          <w:sz w:val="18"/>
          <w:szCs w:val="18"/>
        </w:rPr>
        <w:t>II – lubrificantes;</w:t>
      </w:r>
    </w:p>
    <w:p>
      <w:pPr>
        <w:pStyle w:val="ListParagraph"/>
        <w:suppressAutoHyphens w:val="false"/>
        <w:spacing w:beforeAutospacing="1" w:afterAutospacing="1"/>
        <w:ind w:left="1418"/>
        <w:contextualSpacing/>
        <w:rPr>
          <w:rFonts w:ascii="Arial" w:hAnsi="Arial" w:eastAsia="Times New Roman" w:cs="Arial"/>
          <w:sz w:val="18"/>
          <w:szCs w:val="18"/>
        </w:rPr>
      </w:pPr>
      <w:r>
        <w:rPr>
          <w:rFonts w:eastAsia="Times New Roman" w:cs="Arial" w:ascii="Arial" w:hAnsi="Arial"/>
          <w:sz w:val="18"/>
          <w:szCs w:val="18"/>
        </w:rPr>
        <w:t>III – pneus;</w:t>
      </w:r>
    </w:p>
    <w:p>
      <w:pPr>
        <w:pStyle w:val="ListParagraph"/>
        <w:suppressAutoHyphens w:val="false"/>
        <w:spacing w:beforeAutospacing="1" w:afterAutospacing="1"/>
        <w:ind w:left="1418"/>
        <w:contextualSpacing/>
        <w:rPr>
          <w:rFonts w:ascii="Arial" w:hAnsi="Arial" w:eastAsia="Times New Roman" w:cs="Arial"/>
          <w:sz w:val="18"/>
          <w:szCs w:val="18"/>
        </w:rPr>
      </w:pPr>
      <w:r>
        <w:rPr>
          <w:rFonts w:eastAsia="Times New Roman" w:cs="Arial" w:ascii="Arial" w:hAnsi="Arial"/>
          <w:sz w:val="18"/>
          <w:szCs w:val="18"/>
        </w:rPr>
        <w:t>IV – manutenção preventiva;</w:t>
      </w:r>
    </w:p>
    <w:p>
      <w:pPr>
        <w:pStyle w:val="ListParagraph"/>
        <w:suppressAutoHyphens w:val="false"/>
        <w:spacing w:beforeAutospacing="1" w:afterAutospacing="1"/>
        <w:ind w:left="1418"/>
        <w:contextualSpacing/>
        <w:rPr>
          <w:rFonts w:ascii="Arial" w:hAnsi="Arial" w:eastAsia="Times New Roman" w:cs="Arial"/>
          <w:sz w:val="18"/>
          <w:szCs w:val="18"/>
        </w:rPr>
      </w:pPr>
      <w:r>
        <w:rPr>
          <w:rFonts w:eastAsia="Times New Roman" w:cs="Arial" w:ascii="Arial" w:hAnsi="Arial"/>
          <w:sz w:val="18"/>
          <w:szCs w:val="18"/>
        </w:rPr>
        <w:t>V – manutenção corretiva;</w:t>
      </w:r>
    </w:p>
    <w:p>
      <w:pPr>
        <w:pStyle w:val="ListParagraph"/>
        <w:suppressAutoHyphens w:val="false"/>
        <w:spacing w:beforeAutospacing="1" w:afterAutospacing="1"/>
        <w:ind w:left="1418"/>
        <w:contextualSpacing/>
        <w:rPr>
          <w:rFonts w:ascii="Arial" w:hAnsi="Arial" w:eastAsia="Times New Roman" w:cs="Arial"/>
          <w:sz w:val="18"/>
          <w:szCs w:val="18"/>
        </w:rPr>
      </w:pPr>
      <w:r>
        <w:rPr>
          <w:rFonts w:eastAsia="Times New Roman" w:cs="Arial" w:ascii="Arial" w:hAnsi="Arial"/>
          <w:sz w:val="18"/>
          <w:szCs w:val="18"/>
        </w:rPr>
        <w:t>VI – depreciação da frota;</w:t>
      </w:r>
    </w:p>
    <w:p>
      <w:pPr>
        <w:pStyle w:val="ListParagraph"/>
        <w:suppressAutoHyphens w:val="false"/>
        <w:spacing w:beforeAutospacing="1" w:afterAutospacing="1"/>
        <w:ind w:left="1418"/>
        <w:contextualSpacing/>
        <w:rPr>
          <w:rFonts w:ascii="Arial" w:hAnsi="Arial" w:eastAsia="Times New Roman" w:cs="Arial"/>
          <w:sz w:val="18"/>
          <w:szCs w:val="18"/>
        </w:rPr>
      </w:pPr>
      <w:r>
        <w:rPr>
          <w:rFonts w:eastAsia="Times New Roman" w:cs="Arial" w:ascii="Arial" w:hAnsi="Arial"/>
          <w:sz w:val="18"/>
          <w:szCs w:val="18"/>
        </w:rPr>
        <w:t>VII – salários;</w:t>
      </w:r>
    </w:p>
    <w:p>
      <w:pPr>
        <w:pStyle w:val="ListParagraph"/>
        <w:suppressAutoHyphens w:val="false"/>
        <w:spacing w:beforeAutospacing="1" w:afterAutospacing="1"/>
        <w:ind w:left="1418"/>
        <w:contextualSpacing/>
        <w:rPr>
          <w:rFonts w:ascii="Arial" w:hAnsi="Arial" w:eastAsia="Times New Roman" w:cs="Arial"/>
          <w:sz w:val="18"/>
          <w:szCs w:val="18"/>
        </w:rPr>
      </w:pPr>
      <w:r>
        <w:rPr>
          <w:rFonts w:eastAsia="Times New Roman" w:cs="Arial" w:ascii="Arial" w:hAnsi="Arial"/>
          <w:sz w:val="18"/>
          <w:szCs w:val="18"/>
        </w:rPr>
        <w:t>VIII – encargos trabalhistas;</w:t>
      </w:r>
    </w:p>
    <w:p>
      <w:pPr>
        <w:pStyle w:val="ListParagraph"/>
        <w:suppressAutoHyphens w:val="false"/>
        <w:spacing w:beforeAutospacing="1" w:afterAutospacing="1"/>
        <w:ind w:left="1418"/>
        <w:contextualSpacing/>
        <w:rPr>
          <w:rFonts w:ascii="Arial" w:hAnsi="Arial" w:eastAsia="Times New Roman" w:cs="Arial"/>
          <w:sz w:val="18"/>
          <w:szCs w:val="18"/>
        </w:rPr>
      </w:pPr>
      <w:r>
        <w:rPr>
          <w:rFonts w:eastAsia="Times New Roman" w:cs="Arial" w:ascii="Arial" w:hAnsi="Arial"/>
          <w:sz w:val="18"/>
          <w:szCs w:val="18"/>
        </w:rPr>
        <w:t>IX – encargos previdenciários;</w:t>
      </w:r>
    </w:p>
    <w:p>
      <w:pPr>
        <w:pStyle w:val="ListParagraph"/>
        <w:suppressAutoHyphens w:val="false"/>
        <w:spacing w:beforeAutospacing="1" w:afterAutospacing="1"/>
        <w:ind w:left="1418"/>
        <w:contextualSpacing/>
        <w:rPr>
          <w:rFonts w:ascii="Arial" w:hAnsi="Arial" w:eastAsia="Times New Roman" w:cs="Arial"/>
          <w:sz w:val="18"/>
          <w:szCs w:val="18"/>
        </w:rPr>
      </w:pPr>
      <w:r>
        <w:rPr>
          <w:rFonts w:eastAsia="Times New Roman" w:cs="Arial" w:ascii="Arial" w:hAnsi="Arial"/>
          <w:sz w:val="18"/>
          <w:szCs w:val="18"/>
        </w:rPr>
        <w:t>X – tributos;</w:t>
      </w:r>
    </w:p>
    <w:p>
      <w:pPr>
        <w:pStyle w:val="ListParagraph"/>
        <w:suppressAutoHyphens w:val="false"/>
        <w:spacing w:beforeAutospacing="1" w:afterAutospacing="1"/>
        <w:ind w:left="1418"/>
        <w:contextualSpacing/>
        <w:rPr>
          <w:rFonts w:ascii="Arial" w:hAnsi="Arial" w:eastAsia="Times New Roman" w:cs="Arial"/>
          <w:sz w:val="18"/>
          <w:szCs w:val="18"/>
        </w:rPr>
      </w:pPr>
      <w:r>
        <w:rPr>
          <w:rFonts w:eastAsia="Times New Roman" w:cs="Arial" w:ascii="Arial" w:hAnsi="Arial"/>
          <w:sz w:val="18"/>
          <w:szCs w:val="18"/>
        </w:rPr>
        <w:t>XI – seguros obrigatórios;</w:t>
      </w:r>
    </w:p>
    <w:p>
      <w:pPr>
        <w:pStyle w:val="ListParagraph"/>
        <w:suppressAutoHyphens w:val="false"/>
        <w:spacing w:beforeAutospacing="1" w:afterAutospacing="1"/>
        <w:ind w:left="1418"/>
        <w:contextualSpacing/>
        <w:rPr>
          <w:rFonts w:ascii="Arial" w:hAnsi="Arial" w:eastAsia="Times New Roman" w:cs="Arial"/>
          <w:sz w:val="18"/>
          <w:szCs w:val="18"/>
        </w:rPr>
      </w:pPr>
      <w:r>
        <w:rPr>
          <w:rFonts w:eastAsia="Times New Roman" w:cs="Arial" w:ascii="Arial" w:hAnsi="Arial"/>
          <w:sz w:val="18"/>
          <w:szCs w:val="18"/>
        </w:rPr>
        <w:t>XII – licenciamento;</w:t>
      </w:r>
    </w:p>
    <w:p>
      <w:pPr>
        <w:pStyle w:val="ListParagraph"/>
        <w:suppressAutoHyphens w:val="false"/>
        <w:spacing w:beforeAutospacing="1" w:afterAutospacing="1"/>
        <w:ind w:left="1418"/>
        <w:contextualSpacing/>
        <w:rPr>
          <w:rFonts w:ascii="Arial" w:hAnsi="Arial" w:eastAsia="Times New Roman" w:cs="Arial"/>
          <w:sz w:val="18"/>
          <w:szCs w:val="18"/>
        </w:rPr>
      </w:pPr>
      <w:r>
        <w:rPr>
          <w:rFonts w:eastAsia="Times New Roman" w:cs="Arial" w:ascii="Arial" w:hAnsi="Arial"/>
          <w:sz w:val="18"/>
          <w:szCs w:val="18"/>
        </w:rPr>
        <w:t>XIII – vistorias;</w:t>
      </w:r>
    </w:p>
    <w:p>
      <w:pPr>
        <w:pStyle w:val="ListParagraph"/>
        <w:suppressAutoHyphens w:val="false"/>
        <w:spacing w:beforeAutospacing="1" w:afterAutospacing="1"/>
        <w:ind w:left="1418"/>
        <w:contextualSpacing/>
        <w:rPr>
          <w:rFonts w:ascii="Arial" w:hAnsi="Arial" w:eastAsia="Times New Roman" w:cs="Arial"/>
          <w:sz w:val="18"/>
          <w:szCs w:val="18"/>
        </w:rPr>
      </w:pPr>
      <w:r>
        <w:rPr>
          <w:rFonts w:eastAsia="Times New Roman" w:cs="Arial" w:ascii="Arial" w:hAnsi="Arial"/>
          <w:sz w:val="18"/>
          <w:szCs w:val="18"/>
        </w:rPr>
        <w:t>XIV – equipamentos obrigatórios;</w:t>
      </w:r>
    </w:p>
    <w:p>
      <w:pPr>
        <w:pStyle w:val="ListParagraph"/>
        <w:suppressAutoHyphens w:val="false"/>
        <w:spacing w:beforeAutospacing="1" w:afterAutospacing="1"/>
        <w:ind w:left="1418"/>
        <w:contextualSpacing/>
        <w:rPr>
          <w:rFonts w:ascii="Arial" w:hAnsi="Arial" w:eastAsia="Times New Roman" w:cs="Arial"/>
          <w:sz w:val="18"/>
          <w:szCs w:val="18"/>
        </w:rPr>
      </w:pPr>
      <w:r>
        <w:rPr>
          <w:rFonts w:eastAsia="Times New Roman" w:cs="Arial" w:ascii="Arial" w:hAnsi="Arial"/>
          <w:sz w:val="18"/>
          <w:szCs w:val="18"/>
        </w:rPr>
        <w:t>XV – despesas administrativas;</w:t>
      </w:r>
    </w:p>
    <w:p>
      <w:pPr>
        <w:pStyle w:val="ListParagraph"/>
        <w:suppressAutoHyphens w:val="false"/>
        <w:spacing w:beforeAutospacing="1" w:afterAutospacing="1"/>
        <w:ind w:left="1418"/>
        <w:contextualSpacing/>
        <w:rPr>
          <w:rFonts w:ascii="Arial" w:hAnsi="Arial" w:eastAsia="Times New Roman" w:cs="Arial"/>
          <w:sz w:val="18"/>
          <w:szCs w:val="18"/>
        </w:rPr>
      </w:pPr>
      <w:r>
        <w:rPr>
          <w:rFonts w:eastAsia="Times New Roman" w:cs="Arial" w:ascii="Arial" w:hAnsi="Arial"/>
          <w:sz w:val="18"/>
          <w:szCs w:val="18"/>
        </w:rPr>
        <w:t>XVI – lucro;</w:t>
      </w:r>
    </w:p>
    <w:p>
      <w:pPr>
        <w:pStyle w:val="ListParagraph"/>
        <w:suppressAutoHyphens w:val="false"/>
        <w:spacing w:beforeAutospacing="1" w:afterAutospacing="1"/>
        <w:ind w:left="1418"/>
        <w:contextualSpacing/>
        <w:rPr>
          <w:rFonts w:ascii="Arial" w:hAnsi="Arial" w:eastAsia="Times New Roman" w:cs="Arial"/>
          <w:sz w:val="18"/>
          <w:szCs w:val="18"/>
        </w:rPr>
      </w:pPr>
      <w:r>
        <w:rPr>
          <w:rFonts w:eastAsia="Times New Roman" w:cs="Arial" w:ascii="Arial" w:hAnsi="Arial"/>
          <w:sz w:val="18"/>
          <w:szCs w:val="18"/>
        </w:rPr>
        <w:t>XVII – quaisquer outras despesas necessárias à execução integral do objeto.</w:t>
      </w:r>
    </w:p>
    <w:p>
      <w:pPr>
        <w:pStyle w:val="ListParagraph"/>
        <w:suppressAutoHyphens w:val="false"/>
        <w:spacing w:beforeAutospacing="1" w:afterAutospacing="1"/>
        <w:ind w:left="1418"/>
        <w:contextualSpacing/>
        <w:rPr>
          <w:rFonts w:ascii="Arial" w:hAnsi="Arial" w:eastAsia="Times New Roman" w:cs="Arial"/>
          <w:sz w:val="18"/>
          <w:szCs w:val="18"/>
        </w:rPr>
      </w:pPr>
      <w:r>
        <w:rPr>
          <w:rFonts w:eastAsia="Times New Roman" w:cs="Arial" w:ascii="Arial" w:hAnsi="Arial"/>
          <w:sz w:val="18"/>
          <w:szCs w:val="18"/>
        </w:rPr>
        <w:t xml:space="preserve">XIV – monitor escolar, quando exigido pela Administração; </w:t>
      </w:r>
    </w:p>
    <w:p>
      <w:pPr>
        <w:pStyle w:val="ListParagraph"/>
        <w:suppressAutoHyphens w:val="false"/>
        <w:spacing w:beforeAutospacing="1" w:afterAutospacing="1"/>
        <w:ind w:left="1418"/>
        <w:contextualSpacing/>
        <w:rPr>
          <w:rFonts w:ascii="Arial" w:hAnsi="Arial" w:eastAsia="Times New Roman" w:cs="Arial"/>
          <w:sz w:val="18"/>
          <w:szCs w:val="18"/>
        </w:rPr>
      </w:pPr>
      <w:r>
        <w:rPr>
          <w:rFonts w:eastAsia="Times New Roman" w:cs="Arial" w:ascii="Arial" w:hAnsi="Arial"/>
          <w:sz w:val="18"/>
          <w:szCs w:val="18"/>
        </w:rPr>
        <w:t>XV – veículo reserva;</w:t>
      </w:r>
    </w:p>
    <w:p>
      <w:pPr>
        <w:pStyle w:val="Nvel2-Red"/>
        <w:numPr>
          <w:ilvl w:val="1"/>
          <w:numId w:val="17"/>
        </w:numPr>
        <w:ind w:hanging="360" w:left="1560"/>
        <w:rPr>
          <w:color w:themeColor="text1" w:val="000000"/>
          <w:sz w:val="18"/>
          <w:szCs w:val="18"/>
        </w:rPr>
      </w:pPr>
      <w:r>
        <w:rPr>
          <w:i w:val="false"/>
          <w:color w:themeColor="text1" w:val="000000"/>
          <w:sz w:val="18"/>
          <w:szCs w:val="18"/>
        </w:rPr>
        <w:t xml:space="preserve"> </w:t>
      </w:r>
      <w:r>
        <w:rPr>
          <w:color w:themeColor="text1" w:val="000000"/>
          <w:sz w:val="18"/>
          <w:szCs w:val="18"/>
        </w:rPr>
        <w:t>A Administração poderá, a qualquer momento durante o julgamento das propostas, promover diligências destinadas a esclarecer ou complementar a instrução do processo, podendo solicitar documentos, planilhas, memórias de cálculo, demonstrações de custos ou quaisquer outras informações necessárias à verificação da exequibilidade da proposta.</w:t>
      </w:r>
    </w:p>
    <w:p>
      <w:pPr>
        <w:pStyle w:val="Nvel2-Red"/>
        <w:numPr>
          <w:ilvl w:val="1"/>
          <w:numId w:val="17"/>
        </w:numPr>
        <w:spacing w:lineRule="auto" w:line="240" w:before="0" w:after="0"/>
        <w:ind w:hanging="360" w:left="1560"/>
        <w:rPr>
          <w:i w:val="false"/>
          <w:color w:themeColor="text1" w:val="000000"/>
          <w:sz w:val="18"/>
          <w:szCs w:val="18"/>
        </w:rPr>
      </w:pPr>
      <w:r>
        <w:rPr>
          <w:i w:val="false"/>
          <w:color w:themeColor="text1" w:val="000000"/>
          <w:sz w:val="18"/>
          <w:szCs w:val="18"/>
        </w:rPr>
        <w:t xml:space="preserve"> </w:t>
      </w:r>
      <w:r>
        <w:rPr>
          <w:i w:val="false"/>
          <w:color w:themeColor="text1" w:val="000000"/>
          <w:sz w:val="18"/>
          <w:szCs w:val="18"/>
        </w:rPr>
        <w:t>A não apresentação dos documentos ou esclarecimentos solicitados no prazo fixado pelo Agente de Contratação poderá ensejar a desclassificação da proposta, observado o contraditório e a ampla defesa quando cabíveis.</w:t>
      </w:r>
    </w:p>
    <w:p>
      <w:pPr>
        <w:pStyle w:val="Nvel2-Red"/>
        <w:numPr>
          <w:ilvl w:val="1"/>
          <w:numId w:val="17"/>
        </w:numPr>
        <w:spacing w:lineRule="auto" w:line="240" w:before="0" w:after="0"/>
        <w:ind w:hanging="360" w:left="1560"/>
        <w:rPr>
          <w:i w:val="false"/>
          <w:color w:themeColor="text1" w:val="000000"/>
          <w:sz w:val="18"/>
          <w:szCs w:val="18"/>
        </w:rPr>
      </w:pPr>
      <w:r>
        <w:rPr>
          <w:i w:val="false"/>
          <w:color w:themeColor="text1" w:val="000000"/>
          <w:sz w:val="18"/>
          <w:szCs w:val="18"/>
        </w:rPr>
        <w:t xml:space="preserve"> </w:t>
      </w:r>
      <w:r>
        <w:rPr>
          <w:i w:val="false"/>
          <w:color w:themeColor="text1" w:val="000000"/>
          <w:sz w:val="18"/>
          <w:szCs w:val="18"/>
        </w:rPr>
        <w:t>A proposta deverá observar rigorosamente todas as especificações técnicas constantes do Termo de Referência, sendo vedada a apresentação de proposta parcial, alternativa ou que imponha condições não previstas neste Edital.</w:t>
      </w:r>
    </w:p>
    <w:p>
      <w:pPr>
        <w:pStyle w:val="Nvel2-Red"/>
        <w:numPr>
          <w:ilvl w:val="1"/>
          <w:numId w:val="17"/>
        </w:numPr>
        <w:spacing w:lineRule="auto" w:line="240" w:before="0" w:after="0"/>
        <w:ind w:hanging="360" w:left="1560"/>
        <w:rPr>
          <w:i w:val="false"/>
          <w:color w:themeColor="text1" w:val="000000"/>
          <w:sz w:val="18"/>
          <w:szCs w:val="18"/>
        </w:rPr>
      </w:pPr>
      <w:r>
        <w:rPr>
          <w:i w:val="false"/>
          <w:color w:themeColor="text1" w:val="000000"/>
          <w:sz w:val="18"/>
          <w:szCs w:val="18"/>
        </w:rPr>
        <w:t>Os documentos eventualmente apresentados em diligência complementar deverão guardar correspondência com a proposta originalmente apresentada, sendo vedada a substituição da proposta, a inclusão de vantagem não prevista originalmente ou qualquer alteração que modifique sua essência, observadas as hipóteses admitidas pela Lei Federal nº 14.133/2021.</w:t>
      </w:r>
    </w:p>
    <w:p>
      <w:pPr>
        <w:pStyle w:val="Nvel2-Red"/>
        <w:numPr>
          <w:ilvl w:val="0"/>
          <w:numId w:val="0"/>
        </w:numPr>
        <w:spacing w:lineRule="auto" w:line="240" w:before="0" w:after="0"/>
        <w:ind w:hanging="0" w:left="999"/>
        <w:rPr>
          <w:i w:val="false"/>
          <w:color w:themeColor="text1" w:val="000000"/>
          <w:sz w:val="18"/>
          <w:szCs w:val="18"/>
        </w:rPr>
      </w:pPr>
      <w:r>
        <w:rPr>
          <w:i w:val="false"/>
          <w:color w:themeColor="text1" w:val="000000"/>
          <w:sz w:val="18"/>
          <w:szCs w:val="18"/>
        </w:rPr>
      </w:r>
    </w:p>
    <w:p>
      <w:pPr>
        <w:pStyle w:val="Nvel2-Red"/>
        <w:numPr>
          <w:ilvl w:val="0"/>
          <w:numId w:val="16"/>
        </w:numPr>
        <w:spacing w:lineRule="auto" w:line="240" w:before="0" w:after="0"/>
        <w:rPr>
          <w:b/>
          <w:i w:val="false"/>
          <w:color w:themeColor="text1" w:val="000000"/>
          <w:sz w:val="18"/>
          <w:szCs w:val="18"/>
        </w:rPr>
      </w:pPr>
      <w:bookmarkStart w:id="20" w:name="_Toc135469227"/>
      <w:r>
        <w:rPr>
          <w:b/>
          <w:bCs/>
          <w:i w:val="false"/>
          <w:iCs w:val="false"/>
          <w:color w:themeColor="text1" w:val="000000"/>
          <w:sz w:val="18"/>
          <w:szCs w:val="18"/>
        </w:rPr>
        <w:t>DO PREENCHIMENTO DA PROPOSTA</w:t>
      </w:r>
      <w:bookmarkEnd w:id="20"/>
    </w:p>
    <w:p>
      <w:pPr>
        <w:pStyle w:val="Nvel2-Red"/>
        <w:numPr>
          <w:ilvl w:val="1"/>
          <w:numId w:val="16"/>
        </w:numPr>
        <w:spacing w:lineRule="auto" w:line="240" w:before="0" w:after="0"/>
        <w:ind w:hanging="360" w:left="1560"/>
        <w:rPr>
          <w:b/>
          <w:i w:val="false"/>
          <w:color w:themeColor="text1" w:val="000000"/>
          <w:sz w:val="18"/>
          <w:szCs w:val="18"/>
        </w:rPr>
      </w:pPr>
      <w:r>
        <w:rPr>
          <w:i w:val="false"/>
          <w:iCs w:val="false"/>
          <w:color w:themeColor="text1" w:val="000000"/>
          <w:sz w:val="18"/>
          <w:szCs w:val="18"/>
        </w:rPr>
        <w:t>O licitante deverá enviar sua proposta mediante o preenchimento, no sistema eletrônico, dos seguintes campos:</w:t>
      </w:r>
    </w:p>
    <w:p>
      <w:pPr>
        <w:pStyle w:val="Nvel2-Red"/>
        <w:numPr>
          <w:ilvl w:val="2"/>
          <w:numId w:val="18"/>
        </w:numPr>
        <w:spacing w:lineRule="auto" w:line="240" w:before="0" w:after="0"/>
        <w:ind w:hanging="720" w:left="2694"/>
        <w:rPr>
          <w:i w:val="false"/>
          <w:color w:themeColor="text1" w:val="000000"/>
          <w:sz w:val="18"/>
          <w:szCs w:val="18"/>
        </w:rPr>
      </w:pPr>
      <w:r>
        <w:rPr>
          <w:i w:val="false"/>
          <w:iCs w:val="false"/>
          <w:color w:themeColor="text1" w:val="000000"/>
          <w:sz w:val="18"/>
          <w:szCs w:val="18"/>
        </w:rPr>
        <w:t>Valor unitário por quilômetro rodado e valor total estimado do ITEM (linha), conforme quantitativos constantes do Termo de Referência.;</w:t>
      </w:r>
    </w:p>
    <w:p>
      <w:pPr>
        <w:pStyle w:val="Nvel2-Red"/>
        <w:numPr>
          <w:ilvl w:val="2"/>
          <w:numId w:val="18"/>
        </w:numPr>
        <w:spacing w:lineRule="auto" w:line="240" w:before="0" w:after="0"/>
        <w:ind w:hanging="720" w:left="2694"/>
        <w:rPr>
          <w:rStyle w:val="normaltextrun"/>
          <w:i w:val="false"/>
          <w:color w:themeColor="text1" w:val="000000"/>
          <w:sz w:val="18"/>
          <w:szCs w:val="18"/>
        </w:rPr>
      </w:pPr>
      <w:r>
        <w:rPr>
          <w:i w:val="false"/>
          <w:color w:themeColor="text1" w:val="000000"/>
          <w:sz w:val="18"/>
          <w:szCs w:val="18"/>
        </w:rPr>
        <w:t>Valor total estimado de cada ITEM (linha), conforme quantitativos constantes do Termo de Referência.</w:t>
      </w:r>
    </w:p>
    <w:p>
      <w:pPr>
        <w:pStyle w:val="Nvel2-Red"/>
        <w:numPr>
          <w:ilvl w:val="1"/>
          <w:numId w:val="18"/>
        </w:numPr>
        <w:spacing w:lineRule="auto" w:line="240" w:before="0" w:after="0"/>
        <w:ind w:hanging="405" w:left="1560"/>
        <w:rPr>
          <w:i w:val="false"/>
          <w:color w:themeColor="text1" w:val="000000"/>
          <w:sz w:val="18"/>
          <w:szCs w:val="18"/>
        </w:rPr>
      </w:pPr>
      <w:r>
        <w:rPr>
          <w:i w:val="false"/>
          <w:iCs w:val="false"/>
          <w:color w:themeColor="text1" w:val="000000"/>
          <w:sz w:val="18"/>
          <w:szCs w:val="18"/>
        </w:rPr>
        <w:t>Todas as especificações do objeto contidas na proposta vinculam o licitante.</w:t>
      </w:r>
    </w:p>
    <w:p>
      <w:pPr>
        <w:pStyle w:val="Nvel2-Red"/>
        <w:numPr>
          <w:ilvl w:val="1"/>
          <w:numId w:val="18"/>
        </w:numPr>
        <w:spacing w:lineRule="auto" w:line="240" w:before="0" w:after="0"/>
        <w:ind w:hanging="405" w:left="1560"/>
        <w:rPr>
          <w:i w:val="false"/>
          <w:color w:themeColor="text1" w:val="000000"/>
          <w:sz w:val="18"/>
          <w:szCs w:val="18"/>
        </w:rPr>
      </w:pPr>
      <w:r>
        <w:rPr>
          <w:i w:val="false"/>
          <w:iCs w:val="false"/>
          <w:color w:themeColor="text1" w:val="000000"/>
          <w:sz w:val="18"/>
          <w:szCs w:val="18"/>
        </w:rPr>
        <w:t xml:space="preserve">Consideram-se incluídos nos preços ofertados todos os custos necessários à perfeita execução dos serviços, tais como combustível, lubrificantes, pneus, manutenção preventiva e corretiva, peças, mão de obra, encargos trabalhistas, previdenciários e fiscais, seguros, licenciamento, depreciação da frota, despesas administrativas, </w:t>
      </w:r>
      <w:r>
        <w:rPr>
          <w:b/>
          <w:bCs/>
          <w:i w:val="false"/>
          <w:iCs w:val="false"/>
          <w:color w:themeColor="text1" w:val="000000"/>
          <w:sz w:val="18"/>
          <w:szCs w:val="18"/>
        </w:rPr>
        <w:t>vistorias obrigatórias, inclusive aquelas realizadas por engenheiro mecânico registrado no CREA quando exigidas pela legislação ou pelo Termo de Referência</w:t>
      </w:r>
      <w:r>
        <w:rPr>
          <w:i w:val="false"/>
          <w:iCs w:val="false"/>
          <w:color w:themeColor="text1" w:val="000000"/>
          <w:sz w:val="18"/>
          <w:szCs w:val="18"/>
        </w:rPr>
        <w:t>, lucro e quaisquer outros custos inerentes à execução contratual.</w:t>
      </w:r>
    </w:p>
    <w:p>
      <w:pPr>
        <w:pStyle w:val="Nvel2-Red"/>
        <w:numPr>
          <w:ilvl w:val="1"/>
          <w:numId w:val="18"/>
        </w:numPr>
        <w:spacing w:lineRule="auto" w:line="240" w:before="0" w:after="0"/>
        <w:ind w:hanging="405" w:left="1560"/>
        <w:rPr>
          <w:i w:val="false"/>
          <w:color w:themeColor="text1" w:val="000000"/>
          <w:sz w:val="18"/>
          <w:szCs w:val="18"/>
        </w:rPr>
      </w:pPr>
      <w:r>
        <w:rPr>
          <w:i w:val="false"/>
          <w:iCs w:val="false"/>
          <w:color w:themeColor="text1" w:val="000000"/>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Nvel2-Red"/>
        <w:numPr>
          <w:ilvl w:val="1"/>
          <w:numId w:val="18"/>
        </w:numPr>
        <w:spacing w:lineRule="auto" w:line="240" w:before="0" w:after="0"/>
        <w:ind w:hanging="405" w:left="1560"/>
        <w:rPr>
          <w:i w:val="false"/>
          <w:color w:themeColor="text1" w:val="000000"/>
          <w:sz w:val="18"/>
          <w:szCs w:val="18"/>
        </w:rPr>
      </w:pPr>
      <w:r>
        <w:rPr>
          <w:i w:val="false"/>
          <w:iCs w:val="false"/>
          <w:color w:themeColor="text1" w:val="000000"/>
          <w:sz w:val="18"/>
          <w:szCs w:val="18"/>
        </w:rPr>
        <w:t xml:space="preserve">Se o regime tributário da empresa implicar o recolhimento de tributos em percentuais variáveis, a cotação adequada será a que corresponde à média dos efetivos recolhimentos da empresa nos últimos doze meses. </w:t>
      </w:r>
    </w:p>
    <w:p>
      <w:pPr>
        <w:pStyle w:val="Nvel2-Red"/>
        <w:numPr>
          <w:ilvl w:val="1"/>
          <w:numId w:val="18"/>
        </w:numPr>
        <w:spacing w:lineRule="auto" w:line="240" w:before="0" w:after="0"/>
        <w:ind w:hanging="405" w:left="1560"/>
        <w:rPr>
          <w:i w:val="false"/>
          <w:color w:themeColor="text1" w:val="000000"/>
          <w:sz w:val="18"/>
          <w:szCs w:val="18"/>
        </w:rPr>
      </w:pPr>
      <w:r>
        <w:rPr>
          <w:i w:val="false"/>
          <w:iCs w:val="false"/>
          <w:color w:themeColor="text1" w:val="000000"/>
          <w:sz w:val="18"/>
          <w:szCs w:val="18"/>
        </w:rPr>
        <w:t>Independentemente do percentual de tributo considerado na composição da proposta, no pagamento serão efetuadas as retenções tributárias previstas na legislação vigente.</w:t>
      </w:r>
    </w:p>
    <w:p>
      <w:pPr>
        <w:pStyle w:val="Nvel2-Red"/>
        <w:numPr>
          <w:ilvl w:val="1"/>
          <w:numId w:val="18"/>
        </w:numPr>
        <w:spacing w:lineRule="auto" w:line="240" w:before="0" w:after="0"/>
        <w:ind w:hanging="405" w:left="1560"/>
        <w:rPr>
          <w:i w:val="false"/>
          <w:color w:themeColor="text1" w:val="000000"/>
          <w:sz w:val="18"/>
          <w:szCs w:val="18"/>
        </w:rPr>
      </w:pPr>
      <w:r>
        <w:rPr>
          <w:i w:val="false"/>
          <w:iCs w:val="false"/>
          <w:color w:themeColor="text1" w:val="000000"/>
          <w:sz w:val="18"/>
          <w:szCs w:val="18"/>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pPr>
        <w:pStyle w:val="Nvel2-Red"/>
        <w:numPr>
          <w:ilvl w:val="2"/>
          <w:numId w:val="18"/>
        </w:numPr>
        <w:spacing w:lineRule="auto" w:line="240" w:before="0" w:after="0"/>
        <w:ind w:hanging="720" w:left="2268"/>
        <w:rPr>
          <w:i w:val="false"/>
          <w:color w:themeColor="text1" w:val="000000"/>
          <w:sz w:val="18"/>
          <w:szCs w:val="18"/>
        </w:rPr>
      </w:pPr>
      <w:r>
        <w:rPr>
          <w:i w:val="false"/>
          <w:iCs w:val="false"/>
          <w:color w:themeColor="text1" w:val="000000"/>
          <w:sz w:val="18"/>
          <w:szCs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veículos, motoristas, equipamentos obrigatórios, mão de obra, seguros, licenças, autorizações e demais recursos necessários à perfeita execução contratual.</w:t>
      </w:r>
    </w:p>
    <w:p>
      <w:pPr>
        <w:pStyle w:val="Nvel2-Red"/>
        <w:numPr>
          <w:ilvl w:val="2"/>
          <w:numId w:val="18"/>
        </w:numPr>
        <w:spacing w:lineRule="auto" w:line="240" w:before="0" w:after="0"/>
        <w:ind w:hanging="720" w:left="2268"/>
        <w:rPr>
          <w:i w:val="false"/>
          <w:color w:themeColor="text1" w:val="000000"/>
          <w:sz w:val="18"/>
          <w:szCs w:val="18"/>
        </w:rPr>
      </w:pPr>
      <w:r>
        <w:rPr>
          <w:color w:themeColor="text1" w:val="000000"/>
          <w:sz w:val="18"/>
          <w:szCs w:val="18"/>
        </w:rPr>
        <w:t>O</w:t>
      </w:r>
      <w:r>
        <w:rPr>
          <w:i w:val="false"/>
          <w:iCs w:val="false"/>
          <w:color w:themeColor="text1" w:val="000000"/>
          <w:sz w:val="18"/>
          <w:szCs w:val="18"/>
        </w:rPr>
        <w:t xml:space="preserve"> prazo de validade da proposta não será inferior a </w:t>
      </w:r>
      <w:r>
        <w:rPr>
          <w:b/>
          <w:bCs/>
          <w:i w:val="false"/>
          <w:iCs w:val="false"/>
          <w:color w:themeColor="text1" w:val="000000"/>
          <w:sz w:val="18"/>
          <w:szCs w:val="18"/>
        </w:rPr>
        <w:t>60 (sessenta)</w:t>
      </w:r>
      <w:r>
        <w:rPr>
          <w:i w:val="false"/>
          <w:iCs w:val="false"/>
          <w:color w:themeColor="text1" w:val="000000"/>
          <w:sz w:val="18"/>
          <w:szCs w:val="18"/>
        </w:rPr>
        <w:t xml:space="preserve"> dias</w:t>
      </w:r>
      <w:r>
        <w:rPr>
          <w:b/>
          <w:bCs/>
          <w:i w:val="false"/>
          <w:iCs w:val="false"/>
          <w:color w:themeColor="text1" w:val="000000"/>
          <w:sz w:val="18"/>
          <w:szCs w:val="18"/>
        </w:rPr>
        <w:t>,</w:t>
      </w:r>
      <w:r>
        <w:rPr>
          <w:i w:val="false"/>
          <w:iCs w:val="false"/>
          <w:color w:themeColor="text1" w:val="000000"/>
          <w:sz w:val="18"/>
          <w:szCs w:val="18"/>
        </w:rPr>
        <w:t xml:space="preserve"> a contar da data de sua apresentação.</w:t>
      </w:r>
    </w:p>
    <w:p>
      <w:pPr>
        <w:pStyle w:val="Nvel2-Red"/>
        <w:numPr>
          <w:ilvl w:val="2"/>
          <w:numId w:val="18"/>
        </w:numPr>
        <w:spacing w:lineRule="auto" w:line="240" w:before="0" w:after="0"/>
        <w:ind w:hanging="720" w:left="2268"/>
        <w:rPr>
          <w:i w:val="false"/>
          <w:color w:themeColor="text1" w:val="000000"/>
          <w:sz w:val="18"/>
          <w:szCs w:val="18"/>
        </w:rPr>
      </w:pPr>
      <w:r>
        <w:rPr>
          <w:i w:val="false"/>
          <w:iCs w:val="false"/>
          <w:color w:themeColor="text1" w:val="000000"/>
          <w:sz w:val="18"/>
          <w:szCs w:val="18"/>
        </w:rPr>
        <w:t>Os licitantes deverão respeitar os preços máximos estimados pela Administração, sob pena de desclassificação da proposta, observado o disposto neste Edital e na Lei Federal nº 14.133/2021.</w:t>
      </w:r>
    </w:p>
    <w:p>
      <w:pPr>
        <w:pStyle w:val="Nvel2-Red"/>
        <w:numPr>
          <w:ilvl w:val="2"/>
          <w:numId w:val="18"/>
        </w:numPr>
        <w:spacing w:lineRule="auto" w:line="240" w:before="0" w:after="0"/>
        <w:ind w:hanging="720" w:left="2268"/>
        <w:rPr>
          <w:i w:val="false"/>
          <w:color w:themeColor="text1" w:val="000000"/>
          <w:sz w:val="18"/>
          <w:szCs w:val="18"/>
        </w:rPr>
      </w:pPr>
      <w:r>
        <w:rPr>
          <w:i w:val="false"/>
          <w:iCs w:val="false"/>
          <w:color w:themeColor="text1" w:val="000000"/>
          <w:sz w:val="18"/>
          <w:szCs w:val="18"/>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12" w:tooltip="https://www.planalto.gov.br/ccivil_03/constituicao/constituicaocompilado.htm">
        <w:r>
          <w:rPr>
            <w:rStyle w:val="Style"/>
            <w:i w:val="false"/>
            <w:iCs w:val="false"/>
            <w:color w:themeColor="text1" w:val="000000"/>
            <w:sz w:val="18"/>
            <w:szCs w:val="18"/>
            <w:u w:val="single"/>
          </w:rPr>
          <w:t>art. 71, inciso IX, da Constituição</w:t>
        </w:r>
      </w:hyperlink>
      <w:r>
        <w:rPr>
          <w:i w:val="false"/>
          <w:iCs w:val="false"/>
          <w:color w:themeColor="text1" w:val="000000"/>
          <w:sz w:val="18"/>
          <w:szCs w:val="18"/>
        </w:rPr>
        <w:t>; ou condenação dos agentes públicos responsáveis e da empresa contratada ao pagamento dos prejuízos ao erário, caso verificada a ocorrência de superfaturamento por sobrepreço na execução do contrato.</w:t>
      </w:r>
    </w:p>
    <w:p>
      <w:pPr>
        <w:pStyle w:val="Nvel2-Red"/>
        <w:numPr>
          <w:ilvl w:val="0"/>
          <w:numId w:val="0"/>
        </w:numPr>
        <w:spacing w:lineRule="auto" w:line="240" w:before="0" w:after="0"/>
        <w:ind w:hanging="0" w:left="1560"/>
        <w:rPr>
          <w:i w:val="false"/>
          <w:color w:themeColor="text1" w:val="000000"/>
          <w:sz w:val="18"/>
          <w:szCs w:val="18"/>
        </w:rPr>
      </w:pPr>
      <w:r>
        <w:rPr>
          <w:i w:val="false"/>
          <w:color w:themeColor="text1" w:val="000000"/>
          <w:sz w:val="18"/>
          <w:szCs w:val="18"/>
        </w:rPr>
      </w:r>
    </w:p>
    <w:p>
      <w:pPr>
        <w:pStyle w:val="Nvel2-Red"/>
        <w:numPr>
          <w:ilvl w:val="0"/>
          <w:numId w:val="0"/>
        </w:numPr>
        <w:spacing w:lineRule="auto" w:line="240" w:before="0" w:after="0"/>
        <w:ind w:hanging="0" w:left="360"/>
        <w:rPr>
          <w:i w:val="false"/>
          <w:color w:themeColor="text1" w:val="000000"/>
          <w:sz w:val="18"/>
          <w:szCs w:val="18"/>
        </w:rPr>
      </w:pPr>
      <w:r>
        <w:rPr>
          <w:i w:val="false"/>
          <w:color w:themeColor="text1" w:val="000000"/>
          <w:sz w:val="18"/>
          <w:szCs w:val="18"/>
        </w:rPr>
      </w:r>
    </w:p>
    <w:p>
      <w:pPr>
        <w:pStyle w:val="Nvel2-Red"/>
        <w:numPr>
          <w:ilvl w:val="0"/>
          <w:numId w:val="18"/>
        </w:numPr>
        <w:spacing w:lineRule="auto" w:line="240" w:before="0" w:after="0"/>
        <w:ind w:hanging="425" w:left="993"/>
        <w:rPr>
          <w:b/>
          <w:i w:val="false"/>
          <w:color w:themeColor="text1" w:val="000000"/>
          <w:sz w:val="18"/>
          <w:szCs w:val="18"/>
        </w:rPr>
      </w:pPr>
      <w:bookmarkStart w:id="21" w:name="_Toc135469228"/>
      <w:r>
        <w:rPr>
          <w:b/>
          <w:bCs/>
          <w:i w:val="false"/>
          <w:iCs w:val="false"/>
          <w:color w:themeColor="text1" w:val="000000"/>
          <w:sz w:val="18"/>
          <w:szCs w:val="18"/>
        </w:rPr>
        <w:t>DA ABERTURA DA SESSÃO, CLASSIFICAÇÃO DAS PROPOSTAS E FORMULAÇÃO DE LANCES</w:t>
      </w:r>
      <w:bookmarkEnd w:id="21"/>
    </w:p>
    <w:p>
      <w:pPr>
        <w:pStyle w:val="Nvel2-Red"/>
        <w:numPr>
          <w:ilvl w:val="1"/>
          <w:numId w:val="18"/>
        </w:numPr>
        <w:spacing w:lineRule="auto" w:line="240" w:before="0" w:after="0"/>
        <w:ind w:hanging="405" w:left="1418"/>
        <w:rPr>
          <w:i w:val="false"/>
          <w:color w:themeColor="text1" w:val="000000"/>
          <w:sz w:val="18"/>
          <w:szCs w:val="18"/>
        </w:rPr>
      </w:pPr>
      <w:r>
        <w:rPr>
          <w:i w:val="false"/>
          <w:iCs w:val="false"/>
          <w:color w:themeColor="text1" w:val="000000"/>
          <w:sz w:val="18"/>
          <w:szCs w:val="18"/>
        </w:rPr>
        <w:t>A abertura da presente licitação dar-se-á automaticamente em sessão pública, por meio de sistema eletrônico, na data, horário e local indicados neste Edital.</w:t>
      </w:r>
    </w:p>
    <w:p>
      <w:pPr>
        <w:pStyle w:val="Nvel2-Red"/>
        <w:numPr>
          <w:ilvl w:val="1"/>
          <w:numId w:val="18"/>
        </w:numPr>
        <w:spacing w:lineRule="auto" w:line="240" w:before="0" w:after="0"/>
        <w:ind w:hanging="405" w:left="1418"/>
        <w:rPr>
          <w:i w:val="false"/>
          <w:color w:themeColor="text1" w:val="000000"/>
          <w:sz w:val="18"/>
          <w:szCs w:val="18"/>
        </w:rPr>
      </w:pPr>
      <w:r>
        <w:rPr>
          <w:i w:val="false"/>
          <w:iCs w:val="false"/>
          <w:color w:themeColor="text1" w:val="000000"/>
          <w:sz w:val="18"/>
          <w:szCs w:val="18"/>
        </w:rPr>
        <w:t>Os licitantes poderão retirar ou substituir a proposta ou os documentos de habilitação, quando for o caso, anteriormente inseridos no sistema, até a abertura da sessão pública.</w:t>
      </w:r>
    </w:p>
    <w:p>
      <w:pPr>
        <w:pStyle w:val="Nvel2-Red"/>
        <w:numPr>
          <w:ilvl w:val="2"/>
          <w:numId w:val="18"/>
        </w:numPr>
        <w:spacing w:lineRule="auto" w:line="240" w:before="0" w:after="0"/>
        <w:ind w:hanging="720" w:left="2127"/>
        <w:rPr>
          <w:i w:val="false"/>
          <w:color w:themeColor="text1" w:val="000000"/>
          <w:sz w:val="18"/>
          <w:szCs w:val="18"/>
        </w:rPr>
      </w:pPr>
      <w:r>
        <w:rPr>
          <w:i w:val="false"/>
          <w:iCs w:val="false"/>
          <w:color w:themeColor="text1" w:val="000000"/>
          <w:sz w:val="18"/>
          <w:szCs w:val="18"/>
        </w:rPr>
        <w:t>O sistema disponibilizará campo próprio para troca de mensagens entre o Pregoeiro e os licitantes.</w:t>
      </w:r>
    </w:p>
    <w:p>
      <w:pPr>
        <w:pStyle w:val="Nvel2-Red"/>
        <w:numPr>
          <w:ilvl w:val="2"/>
          <w:numId w:val="18"/>
        </w:numPr>
        <w:spacing w:lineRule="auto" w:line="240" w:before="0" w:after="0"/>
        <w:ind w:hanging="720" w:left="2127"/>
        <w:rPr>
          <w:i w:val="false"/>
          <w:color w:themeColor="text1" w:val="000000"/>
          <w:sz w:val="18"/>
          <w:szCs w:val="18"/>
        </w:rPr>
      </w:pPr>
      <w:r>
        <w:rPr>
          <w:i w:val="false"/>
          <w:iCs w:val="false"/>
          <w:color w:themeColor="text1" w:val="000000"/>
          <w:sz w:val="18"/>
          <w:szCs w:val="18"/>
        </w:rPr>
        <w:t xml:space="preserve">Iniciada a etapa competitiva, os licitantes deverão encaminhar lances exclusivamente por meio de sistema eletrônico, sendo imediatamente informados do seu recebimento e do valor consignado no registro. </w:t>
      </w:r>
    </w:p>
    <w:p>
      <w:pPr>
        <w:pStyle w:val="Nvel2-Red"/>
        <w:numPr>
          <w:ilvl w:val="2"/>
          <w:numId w:val="18"/>
        </w:numPr>
        <w:spacing w:lineRule="auto" w:line="240" w:before="0" w:after="0"/>
        <w:ind w:hanging="720" w:left="2127"/>
        <w:rPr>
          <w:i w:val="false"/>
          <w:iCs w:val="false"/>
          <w:color w:themeColor="text1" w:val="000000"/>
          <w:sz w:val="18"/>
          <w:szCs w:val="18"/>
        </w:rPr>
      </w:pPr>
      <w:r>
        <w:rPr>
          <w:rFonts w:eastAsia="Times New Roman"/>
          <w:i w:val="false"/>
          <w:iCs w:val="false"/>
          <w:color w:themeColor="text1" w:val="000000"/>
          <w:sz w:val="18"/>
          <w:szCs w:val="18"/>
        </w:rPr>
        <w:t>O lance deverá ser ofertado pelo valor unitário do quilômetro rodado correspondente ao ITEM (linha).</w:t>
      </w:r>
    </w:p>
    <w:p>
      <w:pPr>
        <w:pStyle w:val="Nvel2-Red"/>
        <w:numPr>
          <w:ilvl w:val="2"/>
          <w:numId w:val="18"/>
        </w:numPr>
        <w:spacing w:lineRule="auto" w:line="240" w:before="0" w:after="0"/>
        <w:ind w:hanging="720" w:left="2127"/>
        <w:rPr>
          <w:i w:val="false"/>
          <w:color w:themeColor="text1" w:val="000000"/>
          <w:sz w:val="18"/>
          <w:szCs w:val="18"/>
        </w:rPr>
      </w:pPr>
      <w:r>
        <w:rPr>
          <w:i w:val="false"/>
          <w:iCs w:val="false"/>
          <w:color w:themeColor="text1" w:val="000000"/>
          <w:sz w:val="18"/>
          <w:szCs w:val="18"/>
        </w:rPr>
        <w:t>Os licitantes poderão oferecer lances sucessivos, observando o horário fixado para abertura da sessão e as regras estabelecidas no Edital.</w:t>
      </w:r>
    </w:p>
    <w:p>
      <w:pPr>
        <w:pStyle w:val="Nvel2-Red"/>
        <w:numPr>
          <w:ilvl w:val="2"/>
          <w:numId w:val="18"/>
        </w:numPr>
        <w:spacing w:lineRule="auto" w:line="240" w:before="0" w:after="0"/>
        <w:ind w:hanging="720" w:left="2127"/>
        <w:rPr>
          <w:i w:val="false"/>
          <w:color w:themeColor="text1" w:val="000000"/>
          <w:sz w:val="18"/>
          <w:szCs w:val="18"/>
        </w:rPr>
      </w:pPr>
      <w:r>
        <w:rPr>
          <w:i w:val="false"/>
          <w:iCs w:val="false"/>
          <w:color w:themeColor="text1" w:val="000000"/>
          <w:sz w:val="18"/>
          <w:szCs w:val="18"/>
        </w:rPr>
        <w:t xml:space="preserve">O licitante somente poderá oferecer lance de valor inferior ao último por ele ofertado e registrado pelo sistema. </w:t>
      </w:r>
    </w:p>
    <w:p>
      <w:pPr>
        <w:pStyle w:val="Nvel2-Red"/>
        <w:numPr>
          <w:ilvl w:val="2"/>
          <w:numId w:val="18"/>
        </w:numPr>
        <w:spacing w:lineRule="auto" w:line="240" w:before="0" w:after="0"/>
        <w:ind w:hanging="720" w:left="2127"/>
        <w:rPr>
          <w:i w:val="false"/>
          <w:color w:themeColor="text1" w:val="000000"/>
          <w:sz w:val="18"/>
          <w:szCs w:val="18"/>
        </w:rPr>
      </w:pPr>
      <w:r>
        <w:rPr>
          <w:i w:val="false"/>
          <w:iCs w:val="false"/>
          <w:color w:themeColor="text1" w:val="000000"/>
          <w:sz w:val="18"/>
          <w:szCs w:val="18"/>
        </w:rPr>
        <w:t>O intervalo mínimo de diferença de valores ou percentuais entre os lances, que incidirá tanto em relação aos lances intermediários quanto em relação à proposta que cobrir a melhor oferta deverá ser de R$ 0,01.</w:t>
      </w:r>
    </w:p>
    <w:p>
      <w:pPr>
        <w:pStyle w:val="Nvel2-Red"/>
        <w:numPr>
          <w:ilvl w:val="2"/>
          <w:numId w:val="18"/>
        </w:numPr>
        <w:spacing w:lineRule="auto" w:line="240" w:before="0" w:after="0"/>
        <w:ind w:hanging="720" w:left="2127"/>
        <w:rPr>
          <w:i w:val="false"/>
          <w:color w:themeColor="text1" w:val="000000"/>
          <w:sz w:val="18"/>
          <w:szCs w:val="18"/>
        </w:rPr>
      </w:pPr>
      <w:r>
        <w:rPr>
          <w:i w:val="false"/>
          <w:iCs w:val="false"/>
          <w:color w:themeColor="text1" w:val="000000"/>
          <w:sz w:val="18"/>
          <w:szCs w:val="18"/>
        </w:rPr>
        <w:t>O licitante poderá, uma única vez, excluir seu último lance ofertado, no intervalo de quinze segundos após o registro no sistema, na hipótese de lance inconsistente ou inexequível.</w:t>
      </w:r>
    </w:p>
    <w:p>
      <w:pPr>
        <w:pStyle w:val="Nvel2-Red"/>
        <w:numPr>
          <w:ilvl w:val="2"/>
          <w:numId w:val="18"/>
        </w:numPr>
        <w:spacing w:lineRule="auto" w:line="240" w:before="0" w:after="0"/>
        <w:ind w:hanging="720" w:left="2127"/>
        <w:rPr>
          <w:i w:val="false"/>
          <w:color w:themeColor="text1" w:val="000000"/>
          <w:sz w:val="18"/>
          <w:szCs w:val="18"/>
        </w:rPr>
      </w:pPr>
      <w:r>
        <w:rPr>
          <w:i w:val="false"/>
          <w:iCs w:val="false"/>
          <w:color w:themeColor="text1" w:val="000000"/>
          <w:sz w:val="18"/>
          <w:szCs w:val="18"/>
        </w:rPr>
        <w:t>O procedimento seguirá de acordo com o modo de disputa adotado.</w:t>
      </w:r>
    </w:p>
    <w:p>
      <w:pPr>
        <w:pStyle w:val="Nvel2-Red"/>
        <w:numPr>
          <w:ilvl w:val="2"/>
          <w:numId w:val="18"/>
        </w:numPr>
        <w:spacing w:lineRule="auto" w:line="240" w:before="0" w:after="0"/>
        <w:ind w:hanging="720" w:left="2127"/>
        <w:rPr>
          <w:b/>
          <w:i w:val="false"/>
          <w:color w:themeColor="text1" w:val="000000"/>
          <w:sz w:val="18"/>
          <w:szCs w:val="18"/>
        </w:rPr>
      </w:pPr>
      <w:bookmarkStart w:id="22" w:name="_Hlk113697759"/>
      <w:r>
        <w:rPr>
          <w:i w:val="false"/>
          <w:iCs w:val="false"/>
          <w:color w:themeColor="text1" w:val="000000"/>
          <w:sz w:val="18"/>
          <w:szCs w:val="18"/>
        </w:rPr>
        <w:t>Caso seja adotado para o envio de lances no pregão eletrônico o modo de disputa “aberto”, os licitantes apresentarão lances públicos e sucessivos, com prorrogações.</w:t>
      </w:r>
      <w:bookmarkEnd w:id="22"/>
    </w:p>
    <w:p>
      <w:pPr>
        <w:pStyle w:val="Nvel2-Red"/>
        <w:numPr>
          <w:ilvl w:val="2"/>
          <w:numId w:val="18"/>
        </w:numPr>
        <w:spacing w:lineRule="auto" w:line="240" w:before="0" w:after="0"/>
        <w:ind w:hanging="720" w:left="2127"/>
        <w:rPr>
          <w:i w:val="false"/>
          <w:color w:themeColor="text1" w:val="000000"/>
          <w:sz w:val="18"/>
          <w:szCs w:val="18"/>
        </w:rPr>
      </w:pPr>
      <w:bookmarkStart w:id="23" w:name="_Hlk113697816"/>
      <w:r>
        <w:rPr>
          <w:i w:val="false"/>
          <w:iCs w:val="false"/>
          <w:color w:themeColor="text1" w:val="000000"/>
          <w:sz w:val="18"/>
          <w:szCs w:val="18"/>
        </w:rPr>
        <w:t>A etapa de lances da sessão pública terá duração de dez minutos e, após isso, será prorrogada automaticamente pelo sistema quando houver lance ofertado nos últimos dois minutos do período de duração da sessão pública.</w:t>
      </w:r>
    </w:p>
    <w:p>
      <w:pPr>
        <w:pStyle w:val="Nvel2-Red"/>
        <w:numPr>
          <w:ilvl w:val="2"/>
          <w:numId w:val="18"/>
        </w:numPr>
        <w:spacing w:lineRule="auto" w:line="240" w:before="0" w:after="0"/>
        <w:ind w:hanging="720" w:left="2127"/>
        <w:rPr>
          <w:i w:val="false"/>
          <w:color w:themeColor="text1" w:val="000000"/>
          <w:sz w:val="18"/>
          <w:szCs w:val="18"/>
        </w:rPr>
      </w:pPr>
      <w:r>
        <w:rPr>
          <w:i w:val="false"/>
          <w:iCs w:val="false"/>
          <w:color w:themeColor="text1" w:val="000000"/>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pPr>
        <w:pStyle w:val="Nvel2-Red"/>
        <w:numPr>
          <w:ilvl w:val="2"/>
          <w:numId w:val="18"/>
        </w:numPr>
        <w:spacing w:lineRule="auto" w:line="240" w:before="0" w:after="0"/>
        <w:ind w:hanging="720" w:left="2127"/>
        <w:rPr>
          <w:i w:val="false"/>
          <w:color w:themeColor="text1" w:val="000000"/>
          <w:sz w:val="18"/>
          <w:szCs w:val="18"/>
        </w:rPr>
      </w:pPr>
      <w:r>
        <w:rPr>
          <w:i w:val="false"/>
          <w:iCs w:val="false"/>
          <w:color w:themeColor="text1" w:val="000000"/>
          <w:sz w:val="18"/>
          <w:szCs w:val="18"/>
        </w:rPr>
        <w:t>Não havendo novos lances na forma estabelecida nos itens anteriores, a sessão pública encerrar-se-á automaticamente, e o sistema ordenará e divulgará os lances conforme a ordem final de classificação.</w:t>
      </w:r>
    </w:p>
    <w:p>
      <w:pPr>
        <w:pStyle w:val="Nvel2-Red"/>
        <w:numPr>
          <w:ilvl w:val="3"/>
          <w:numId w:val="18"/>
        </w:numPr>
        <w:spacing w:lineRule="auto" w:line="240" w:before="0" w:after="0"/>
        <w:ind w:hanging="720" w:left="2127"/>
        <w:rPr>
          <w:i w:val="false"/>
          <w:color w:themeColor="text1" w:val="000000"/>
          <w:sz w:val="18"/>
          <w:szCs w:val="18"/>
        </w:rPr>
      </w:pPr>
      <w:r>
        <w:rPr>
          <w:i w:val="false"/>
          <w:iCs w:val="false"/>
          <w:color w:themeColor="text1" w:val="000000"/>
          <w:sz w:val="18"/>
          <w:szCs w:val="18"/>
        </w:rPr>
        <w:t xml:space="preserve"> </w:t>
      </w:r>
      <w:r>
        <w:rPr>
          <w:i w:val="false"/>
          <w:iCs w:val="false"/>
          <w:color w:themeColor="text1" w:val="000000"/>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Nvel2-Red"/>
        <w:numPr>
          <w:ilvl w:val="3"/>
          <w:numId w:val="18"/>
        </w:numPr>
        <w:spacing w:lineRule="auto" w:line="240" w:before="0" w:after="0"/>
        <w:ind w:hanging="720" w:left="2127"/>
        <w:rPr>
          <w:b/>
          <w:i w:val="false"/>
          <w:color w:themeColor="text1" w:val="000000"/>
          <w:sz w:val="18"/>
          <w:szCs w:val="18"/>
        </w:rPr>
      </w:pPr>
      <w:r>
        <w:rPr>
          <w:i w:val="false"/>
          <w:iCs w:val="false"/>
          <w:color w:themeColor="text1" w:val="000000"/>
          <w:sz w:val="18"/>
          <w:szCs w:val="18"/>
        </w:rPr>
        <w:t xml:space="preserve"> </w:t>
      </w:r>
      <w:r>
        <w:rPr>
          <w:i w:val="false"/>
          <w:iCs w:val="false"/>
          <w:color w:themeColor="text1" w:val="000000"/>
          <w:sz w:val="18"/>
          <w:szCs w:val="18"/>
        </w:rPr>
        <w:t>Após o reinício previsto no item supra, os licitantes serão convocados para apresentar lances intermediários.</w:t>
      </w:r>
      <w:bookmarkStart w:id="24" w:name="_Hlk113631522"/>
      <w:bookmarkEnd w:id="23"/>
      <w:bookmarkEnd w:id="24"/>
    </w:p>
    <w:p>
      <w:pPr>
        <w:pStyle w:val="Nvel2-Red"/>
        <w:numPr>
          <w:ilvl w:val="2"/>
          <w:numId w:val="18"/>
        </w:numPr>
        <w:spacing w:lineRule="auto" w:line="240" w:before="0" w:after="0"/>
        <w:ind w:hanging="720" w:left="2127"/>
        <w:rPr>
          <w:i w:val="false"/>
          <w:color w:themeColor="text1" w:val="000000"/>
          <w:sz w:val="18"/>
          <w:szCs w:val="18"/>
        </w:rPr>
      </w:pPr>
      <w:r>
        <w:rPr>
          <w:i w:val="false"/>
          <w:iCs w:val="false"/>
          <w:color w:themeColor="text1" w:val="000000"/>
          <w:sz w:val="18"/>
          <w:szCs w:val="18"/>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pPr>
        <w:pStyle w:val="Nvel2-Red"/>
        <w:numPr>
          <w:ilvl w:val="2"/>
          <w:numId w:val="18"/>
        </w:numPr>
        <w:spacing w:lineRule="auto" w:line="240" w:before="0" w:after="0"/>
        <w:ind w:hanging="720" w:left="2127"/>
        <w:rPr>
          <w:i w:val="false"/>
          <w:color w:themeColor="text1" w:val="000000"/>
          <w:sz w:val="18"/>
          <w:szCs w:val="18"/>
        </w:rPr>
      </w:pPr>
      <w:r>
        <w:rPr>
          <w:i w:val="false"/>
          <w:iCs w:val="false"/>
          <w:color w:themeColor="text1" w:val="000000"/>
          <w:sz w:val="18"/>
          <w:szCs w:val="18"/>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pPr>
        <w:pStyle w:val="Nvel2-Red"/>
        <w:numPr>
          <w:ilvl w:val="2"/>
          <w:numId w:val="18"/>
        </w:numPr>
        <w:spacing w:lineRule="auto" w:line="240" w:before="0" w:after="0"/>
        <w:ind w:hanging="720" w:left="2127"/>
        <w:rPr>
          <w:i w:val="false"/>
          <w:color w:themeColor="text1" w:val="000000"/>
          <w:sz w:val="18"/>
          <w:szCs w:val="18"/>
        </w:rPr>
      </w:pPr>
      <w:r>
        <w:rPr>
          <w:i w:val="false"/>
          <w:iCs w:val="false"/>
          <w:color w:themeColor="text1" w:val="000000"/>
          <w:sz w:val="18"/>
          <w:szCs w:val="18"/>
        </w:rPr>
        <w:t>No procedimento de que trata o subitem supra, o licitante poderá optar por manter o seu último lance da etapa aberta, ou por ofertar melhor lance.</w:t>
      </w:r>
    </w:p>
    <w:p>
      <w:pPr>
        <w:pStyle w:val="Nvel2-Red"/>
        <w:numPr>
          <w:ilvl w:val="2"/>
          <w:numId w:val="18"/>
        </w:numPr>
        <w:spacing w:lineRule="auto" w:line="240" w:before="0" w:after="0"/>
        <w:ind w:hanging="720" w:left="2127"/>
        <w:rPr>
          <w:i w:val="false"/>
          <w:color w:themeColor="text1" w:val="000000"/>
          <w:sz w:val="18"/>
          <w:szCs w:val="18"/>
        </w:rPr>
      </w:pPr>
      <w:r>
        <w:rPr>
          <w:i w:val="false"/>
          <w:iCs w:val="false"/>
          <w:color w:themeColor="text1" w:val="000000"/>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pPr>
        <w:pStyle w:val="Nvel2-Red"/>
        <w:numPr>
          <w:ilvl w:val="2"/>
          <w:numId w:val="18"/>
        </w:numPr>
        <w:spacing w:lineRule="auto" w:line="240" w:before="0" w:after="0"/>
        <w:ind w:hanging="720" w:left="2127"/>
        <w:rPr>
          <w:b/>
          <w:i w:val="false"/>
          <w:color w:themeColor="text1" w:val="000000"/>
          <w:sz w:val="18"/>
          <w:szCs w:val="18"/>
        </w:rPr>
      </w:pPr>
      <w:bookmarkStart w:id="25" w:name="_Hlk113698144"/>
      <w:r>
        <w:rPr>
          <w:i w:val="false"/>
          <w:iCs w:val="false"/>
          <w:color w:themeColor="text1" w:val="000000"/>
          <w:sz w:val="18"/>
          <w:szCs w:val="18"/>
        </w:rPr>
        <w:t>Após o término dos prazos estabelecidos nos itens anteriores, o sistema ordenará e divulgará os lances segundo a ordem crescente de valores.</w:t>
      </w:r>
      <w:bookmarkEnd w:id="25"/>
    </w:p>
    <w:p>
      <w:pPr>
        <w:pStyle w:val="Nvel2-Red"/>
        <w:numPr>
          <w:ilvl w:val="2"/>
          <w:numId w:val="18"/>
        </w:numPr>
        <w:spacing w:lineRule="auto" w:line="240" w:before="0" w:after="0"/>
        <w:ind w:hanging="720" w:left="2127"/>
        <w:rPr>
          <w:i w:val="false"/>
          <w:color w:themeColor="text1" w:val="000000"/>
          <w:sz w:val="18"/>
          <w:szCs w:val="18"/>
        </w:rPr>
      </w:pPr>
      <w:r>
        <w:rPr>
          <w:i w:val="false"/>
          <w:iCs w:val="false"/>
          <w:color w:themeColor="text1" w:val="000000"/>
          <w:sz w:val="18"/>
          <w:szCs w:val="18"/>
        </w:rPr>
        <w:t>Não havendo pelo menos 3 (três) propostas nas condições definidas no item 5.2.16, poderão os licitantes que apresentaram as três melhores propostas, consideradas as empatadas, oferecer novos lances sucessivos.</w:t>
      </w:r>
    </w:p>
    <w:p>
      <w:pPr>
        <w:pStyle w:val="Nvel2-Red"/>
        <w:numPr>
          <w:ilvl w:val="1"/>
          <w:numId w:val="18"/>
        </w:numPr>
        <w:spacing w:lineRule="auto" w:line="240" w:before="0" w:after="0"/>
        <w:ind w:hanging="405" w:left="1418"/>
        <w:rPr>
          <w:i w:val="false"/>
          <w:color w:themeColor="text1" w:val="000000"/>
          <w:sz w:val="18"/>
          <w:szCs w:val="18"/>
        </w:rPr>
      </w:pPr>
      <w:r>
        <w:rPr>
          <w:i w:val="false"/>
          <w:iCs w:val="false"/>
          <w:color w:themeColor="text1" w:val="000000"/>
          <w:sz w:val="18"/>
          <w:szCs w:val="18"/>
        </w:rPr>
        <w:t>A etapa de lances da sessão pública terá duração de dez minutos e, após isso, será prorrogada automaticamente pelo sistema quando houver lance ofertado nos últimos dois minutos do período de duração da sessão pública.</w:t>
      </w:r>
    </w:p>
    <w:p>
      <w:pPr>
        <w:pStyle w:val="Nvel2-Red"/>
        <w:numPr>
          <w:ilvl w:val="2"/>
          <w:numId w:val="18"/>
        </w:numPr>
        <w:spacing w:lineRule="auto" w:line="240" w:before="0" w:after="0"/>
        <w:ind w:hanging="720" w:left="2127"/>
        <w:rPr>
          <w:i w:val="false"/>
          <w:color w:themeColor="text1" w:val="000000"/>
          <w:sz w:val="18"/>
          <w:szCs w:val="18"/>
        </w:rPr>
      </w:pPr>
      <w:r>
        <w:rPr>
          <w:i w:val="false"/>
          <w:iCs w:val="false"/>
          <w:color w:themeColor="text1" w:val="000000"/>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pPr>
        <w:pStyle w:val="Nvel2-Red"/>
        <w:numPr>
          <w:ilvl w:val="2"/>
          <w:numId w:val="18"/>
        </w:numPr>
        <w:spacing w:lineRule="auto" w:line="240" w:before="0" w:after="0"/>
        <w:ind w:hanging="720" w:left="2127"/>
        <w:rPr>
          <w:i w:val="false"/>
          <w:color w:themeColor="text1" w:val="000000"/>
          <w:sz w:val="18"/>
          <w:szCs w:val="18"/>
        </w:rPr>
      </w:pPr>
      <w:r>
        <w:rPr>
          <w:i w:val="false"/>
          <w:iCs w:val="false"/>
          <w:color w:themeColor="text1" w:val="000000"/>
          <w:sz w:val="18"/>
          <w:szCs w:val="18"/>
        </w:rPr>
        <w:t>Não havendo novos lances na forma estabelecida nos itens anteriores, a sessão pública encerrar-se-á automaticamente, e o sistema ordenará e divulgará os lances conforme a ordem final de classificação.</w:t>
      </w:r>
    </w:p>
    <w:p>
      <w:pPr>
        <w:pStyle w:val="Nvel2-Red"/>
        <w:numPr>
          <w:ilvl w:val="2"/>
          <w:numId w:val="18"/>
        </w:numPr>
        <w:spacing w:lineRule="auto" w:line="240" w:before="0" w:after="0"/>
        <w:ind w:hanging="720" w:left="2127"/>
        <w:rPr>
          <w:i w:val="false"/>
          <w:color w:themeColor="text1" w:val="000000"/>
          <w:sz w:val="18"/>
          <w:szCs w:val="18"/>
        </w:rPr>
      </w:pPr>
      <w:r>
        <w:rPr>
          <w:i w:val="false"/>
          <w:iCs w:val="false"/>
          <w:color w:themeColor="text1" w:val="000000"/>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Nvel2-Red"/>
        <w:numPr>
          <w:ilvl w:val="2"/>
          <w:numId w:val="18"/>
        </w:numPr>
        <w:spacing w:lineRule="auto" w:line="240" w:before="0" w:after="0"/>
        <w:ind w:hanging="720" w:left="2127"/>
        <w:rPr>
          <w:i w:val="false"/>
          <w:color w:themeColor="text1" w:val="000000"/>
          <w:sz w:val="18"/>
          <w:szCs w:val="18"/>
        </w:rPr>
      </w:pPr>
      <w:r>
        <w:rPr>
          <w:i w:val="false"/>
          <w:iCs w:val="false"/>
          <w:color w:themeColor="text1" w:val="000000"/>
          <w:sz w:val="18"/>
          <w:szCs w:val="18"/>
        </w:rPr>
        <w:t>Após o reinício previsto no subitem supra, os licitantes serão convocados para apresentar lances intermediários.</w:t>
      </w:r>
    </w:p>
    <w:p>
      <w:pPr>
        <w:pStyle w:val="Nvel2-Red"/>
        <w:numPr>
          <w:ilvl w:val="2"/>
          <w:numId w:val="18"/>
        </w:numPr>
        <w:spacing w:lineRule="auto" w:line="240" w:before="0" w:after="0"/>
        <w:ind w:hanging="720" w:left="2127"/>
        <w:rPr>
          <w:i w:val="false"/>
          <w:color w:themeColor="text1" w:val="000000"/>
          <w:sz w:val="18"/>
          <w:szCs w:val="18"/>
        </w:rPr>
      </w:pPr>
      <w:r>
        <w:rPr>
          <w:i w:val="false"/>
          <w:iCs w:val="false"/>
          <w:color w:themeColor="text1" w:val="000000"/>
          <w:sz w:val="18"/>
          <w:szCs w:val="18"/>
        </w:rPr>
        <w:t>Após o término dos prazos estabelecidos nos subitens anteriores, o sistema ordenará e divulgará os lances segundo a ordem crescente de valores.</w:t>
      </w:r>
    </w:p>
    <w:p>
      <w:pPr>
        <w:pStyle w:val="Nvel2-Red"/>
        <w:numPr>
          <w:ilvl w:val="4"/>
          <w:numId w:val="18"/>
        </w:numPr>
        <w:spacing w:lineRule="auto" w:line="240" w:before="0" w:after="0"/>
        <w:ind w:hanging="720" w:left="2835"/>
        <w:rPr>
          <w:i w:val="false"/>
          <w:color w:themeColor="text1" w:val="000000"/>
          <w:sz w:val="18"/>
          <w:szCs w:val="18"/>
        </w:rPr>
      </w:pPr>
      <w:r>
        <w:rPr>
          <w:i w:val="false"/>
          <w:iCs w:val="false"/>
          <w:color w:themeColor="text1" w:val="000000"/>
          <w:sz w:val="18"/>
          <w:szCs w:val="18"/>
        </w:rPr>
        <w:t xml:space="preserve">Não serão aceitos dois ou mais lances de mesmo valor, prevalecendo aquele que for recebido e registrado em primeiro lugar. </w:t>
      </w:r>
    </w:p>
    <w:p>
      <w:pPr>
        <w:pStyle w:val="Nvel2-Red"/>
        <w:numPr>
          <w:ilvl w:val="4"/>
          <w:numId w:val="18"/>
        </w:numPr>
        <w:spacing w:lineRule="auto" w:line="240" w:before="0" w:after="0"/>
        <w:ind w:hanging="720" w:left="2835"/>
        <w:rPr>
          <w:i w:val="false"/>
          <w:color w:themeColor="text1" w:val="000000"/>
          <w:sz w:val="18"/>
          <w:szCs w:val="18"/>
        </w:rPr>
      </w:pPr>
      <w:r>
        <w:rPr>
          <w:i w:val="false"/>
          <w:iCs w:val="false"/>
          <w:color w:themeColor="text1" w:val="000000"/>
          <w:sz w:val="18"/>
          <w:szCs w:val="18"/>
        </w:rPr>
        <w:t xml:space="preserve">Durante o transcurso da sessão pública, os licitantes serão informados, em tempo real, do valor do menor lance registrado, vedada a identificação do licitante. </w:t>
      </w:r>
    </w:p>
    <w:p>
      <w:pPr>
        <w:pStyle w:val="Nvel2-Red"/>
        <w:numPr>
          <w:ilvl w:val="2"/>
          <w:numId w:val="18"/>
        </w:numPr>
        <w:spacing w:lineRule="auto" w:line="240" w:before="0" w:after="0"/>
        <w:ind w:hanging="720" w:left="2127"/>
        <w:rPr>
          <w:i w:val="false"/>
          <w:color w:themeColor="text1" w:val="000000"/>
          <w:sz w:val="18"/>
          <w:szCs w:val="18"/>
        </w:rPr>
      </w:pPr>
      <w:r>
        <w:rPr>
          <w:i w:val="false"/>
          <w:iCs w:val="false"/>
          <w:color w:themeColor="text1" w:val="000000"/>
          <w:sz w:val="18"/>
          <w:szCs w:val="18"/>
        </w:rPr>
        <w:t xml:space="preserve">No caso de desconexão com o Pregoeiro, no decorrer da etapa competitiva do Pregão, o sistema eletrônico poderá permanecer acessível aos licitantes para a recepção dos lances. </w:t>
      </w:r>
    </w:p>
    <w:p>
      <w:pPr>
        <w:pStyle w:val="Nvel2-Red"/>
        <w:numPr>
          <w:ilvl w:val="2"/>
          <w:numId w:val="18"/>
        </w:numPr>
        <w:spacing w:lineRule="auto" w:line="240" w:before="0" w:after="0"/>
        <w:ind w:hanging="720" w:left="2127"/>
        <w:rPr>
          <w:i w:val="false"/>
          <w:color w:themeColor="text1" w:val="000000"/>
          <w:sz w:val="18"/>
          <w:szCs w:val="18"/>
        </w:rPr>
      </w:pPr>
      <w:r>
        <w:rPr>
          <w:i w:val="false"/>
          <w:iCs w:val="false"/>
          <w:color w:themeColor="text1" w:val="000000"/>
          <w:sz w:val="18"/>
          <w:szCs w:val="1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pPr>
        <w:pStyle w:val="Nvel2-Red"/>
        <w:numPr>
          <w:ilvl w:val="2"/>
          <w:numId w:val="18"/>
        </w:numPr>
        <w:spacing w:lineRule="auto" w:line="240" w:before="0" w:after="0"/>
        <w:ind w:hanging="720" w:left="2127"/>
        <w:rPr>
          <w:i w:val="false"/>
          <w:color w:themeColor="text1" w:val="000000"/>
          <w:sz w:val="18"/>
          <w:szCs w:val="18"/>
        </w:rPr>
      </w:pPr>
      <w:r>
        <w:rPr>
          <w:i w:val="false"/>
          <w:iCs w:val="false"/>
          <w:color w:themeColor="text1" w:val="000000"/>
          <w:sz w:val="18"/>
          <w:szCs w:val="18"/>
        </w:rPr>
        <w:t>Caso o licitante não apresente lances, concorrerá com o valor de sua proposta.</w:t>
      </w:r>
    </w:p>
    <w:p>
      <w:pPr>
        <w:pStyle w:val="Nvel2-Red"/>
        <w:numPr>
          <w:ilvl w:val="2"/>
          <w:numId w:val="18"/>
        </w:numPr>
        <w:spacing w:lineRule="auto" w:line="240" w:before="0" w:after="0"/>
        <w:ind w:hanging="720" w:left="2127"/>
        <w:rPr>
          <w:rStyle w:val="Hyperlink1"/>
          <w:i w:val="false"/>
          <w:color w:themeColor="text1" w:val="000000"/>
          <w:sz w:val="18"/>
          <w:szCs w:val="18"/>
        </w:rPr>
      </w:pPr>
      <w:r>
        <w:rPr>
          <w:i w:val="false"/>
          <w:iCs w:val="false"/>
          <w:color w:themeColor="text1" w:val="000000"/>
          <w:sz w:val="18"/>
          <w:szCs w:val="18"/>
        </w:rPr>
        <w:t>Em relação a itens não exclusivos para participação de microempresas e empresas de pequeno porte, uma vez encerrada a etapa de lances</w:t>
      </w:r>
      <w:r>
        <w:rPr>
          <w:rFonts w:eastAsia="Zurich BT"/>
          <w:i w:val="false"/>
          <w:iCs w:val="false"/>
          <w:color w:themeColor="text1" w:val="000000"/>
          <w:sz w:val="18"/>
          <w:szCs w:val="18"/>
        </w:rPr>
        <w:t xml:space="preserve">, será efetivada a verificação automática, junto à Receita Federal, do porte da entidade empresarial. O sistema identificará em coluna própria as microempresas e empresas de pequeno porte </w:t>
      </w:r>
      <w:r>
        <w:rPr>
          <w:i w:val="false"/>
          <w:iCs w:val="false"/>
          <w:color w:themeColor="text1" w:val="000000"/>
          <w:sz w:val="18"/>
          <w:szCs w:val="18"/>
        </w:rPr>
        <w:t>participantes</w:t>
      </w:r>
      <w:r>
        <w:rPr>
          <w:rFonts w:eastAsia="Zurich BT"/>
          <w:i w:val="false"/>
          <w:iCs w:val="false"/>
          <w:color w:themeColor="text1" w:val="000000"/>
          <w:sz w:val="18"/>
          <w:szCs w:val="18"/>
        </w:rPr>
        <w:t xml:space="preserve">, procedendo à comparação com os valores da primeira colocada, se esta for empresa de maior porte, assim como das demais classificadas, para o fim de aplicar-se o disposto nos </w:t>
      </w:r>
      <w:hyperlink r:id="rId13" w:tooltip="https://www.planalto.gov.br/ccivil_03/leis/lcp/lcp123.htm#art44&quot; l &quot;art44">
        <w:r>
          <w:rPr>
            <w:rStyle w:val="Style"/>
            <w:rFonts w:eastAsia="Zurich BT"/>
            <w:i w:val="false"/>
            <w:iCs w:val="false"/>
            <w:color w:themeColor="text1" w:val="000000"/>
            <w:sz w:val="18"/>
            <w:szCs w:val="18"/>
            <w:u w:val="single"/>
          </w:rPr>
          <w:t>arts. 44 e 45 da Lei Complementar nº 123, de 2006</w:t>
        </w:r>
      </w:hyperlink>
      <w:r>
        <w:rPr>
          <w:rStyle w:val="Hyperlink1"/>
          <w:rFonts w:eastAsia="Zurich BT"/>
          <w:i w:val="false"/>
          <w:iCs w:val="false"/>
          <w:color w:themeColor="text1" w:val="000000"/>
          <w:sz w:val="18"/>
          <w:szCs w:val="18"/>
        </w:rPr>
        <w:t>.</w:t>
      </w:r>
    </w:p>
    <w:p>
      <w:pPr>
        <w:pStyle w:val="Nvel2-Red"/>
        <w:numPr>
          <w:ilvl w:val="1"/>
          <w:numId w:val="18"/>
        </w:numPr>
        <w:spacing w:lineRule="auto" w:line="240" w:before="0" w:after="0"/>
        <w:ind w:hanging="405" w:left="1418"/>
        <w:rPr>
          <w:i w:val="false"/>
          <w:color w:themeColor="text1" w:val="000000"/>
          <w:sz w:val="18"/>
          <w:szCs w:val="18"/>
        </w:rPr>
      </w:pPr>
      <w:r>
        <w:rPr>
          <w:i w:val="false"/>
          <w:iCs w:val="false"/>
          <w:color w:themeColor="text1" w:val="000000"/>
          <w:sz w:val="18"/>
          <w:szCs w:val="18"/>
        </w:rPr>
        <w:t xml:space="preserve">Nessas condições, as propostas de </w:t>
      </w:r>
      <w:r>
        <w:rPr>
          <w:rFonts w:eastAsia="Zurich BT"/>
          <w:i w:val="false"/>
          <w:iCs w:val="false"/>
          <w:color w:themeColor="text1" w:val="000000"/>
          <w:sz w:val="18"/>
          <w:szCs w:val="18"/>
        </w:rPr>
        <w:t xml:space="preserve">microempresas e empresas de pequeno porte </w:t>
      </w:r>
      <w:r>
        <w:rPr>
          <w:i w:val="false"/>
          <w:iCs w:val="false"/>
          <w:color w:themeColor="text1" w:val="000000"/>
          <w:sz w:val="18"/>
          <w:szCs w:val="18"/>
        </w:rPr>
        <w:t>que se encontrarem na faixa de até 5% (cinco por cento) acima da melhor proposta ou melhor lance serão consideradas empatadas com a primeira colocada.</w:t>
      </w:r>
    </w:p>
    <w:p>
      <w:pPr>
        <w:pStyle w:val="Nvel2-Red"/>
        <w:numPr>
          <w:ilvl w:val="1"/>
          <w:numId w:val="18"/>
        </w:numPr>
        <w:spacing w:lineRule="auto" w:line="240" w:before="0" w:after="0"/>
        <w:ind w:hanging="405" w:left="1418"/>
        <w:rPr>
          <w:i w:val="false"/>
          <w:color w:themeColor="text1" w:val="000000"/>
          <w:sz w:val="18"/>
          <w:szCs w:val="18"/>
        </w:rPr>
      </w:pPr>
      <w:r>
        <w:rPr>
          <w:i w:val="false"/>
          <w:iCs w:val="false"/>
          <w:color w:themeColor="text1" w:val="000000"/>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Nvel2-Red"/>
        <w:numPr>
          <w:ilvl w:val="1"/>
          <w:numId w:val="18"/>
        </w:numPr>
        <w:spacing w:lineRule="auto" w:line="240" w:before="0" w:after="0"/>
        <w:ind w:hanging="405" w:left="1418"/>
        <w:rPr>
          <w:i w:val="false"/>
          <w:color w:themeColor="text1" w:val="000000"/>
          <w:sz w:val="18"/>
          <w:szCs w:val="18"/>
        </w:rPr>
      </w:pPr>
      <w:r>
        <w:rPr>
          <w:i w:val="false"/>
          <w:iCs w:val="false"/>
          <w:color w:themeColor="text1" w:val="000000"/>
          <w:sz w:val="18"/>
          <w:szCs w:val="18"/>
        </w:rPr>
        <w:t xml:space="preserve">Caso a </w:t>
      </w:r>
      <w:r>
        <w:rPr>
          <w:rFonts w:eastAsia="Zurich BT"/>
          <w:i w:val="false"/>
          <w:iCs w:val="false"/>
          <w:color w:themeColor="text1" w:val="000000"/>
          <w:sz w:val="18"/>
          <w:szCs w:val="18"/>
        </w:rPr>
        <w:t>microempresa ou a empresa de pequeno porte</w:t>
      </w:r>
      <w:r>
        <w:rPr>
          <w:i w:val="false"/>
          <w:iCs w:val="false"/>
          <w:color w:themeColor="text1" w:val="000000"/>
          <w:sz w:val="18"/>
          <w:szCs w:val="18"/>
        </w:rPr>
        <w:t xml:space="preserve"> melhor classificada desista ou não se manifeste no prazo estabelecido, serão convocadas as demais licitantes </w:t>
      </w:r>
      <w:r>
        <w:rPr>
          <w:rFonts w:eastAsia="Zurich BT"/>
          <w:i w:val="false"/>
          <w:iCs w:val="false"/>
          <w:color w:themeColor="text1" w:val="000000"/>
          <w:sz w:val="18"/>
          <w:szCs w:val="18"/>
        </w:rPr>
        <w:t>microempresa e empresa de pequeno porte</w:t>
      </w:r>
      <w:r>
        <w:rPr>
          <w:i w:val="false"/>
          <w:iCs w:val="false"/>
          <w:color w:themeColor="text1" w:val="000000"/>
          <w:sz w:val="18"/>
          <w:szCs w:val="18"/>
        </w:rPr>
        <w:t xml:space="preserve"> que se encontrem naquele intervalo de 5% (cinco por cento), na ordem de classificação, para o exercício do mesmo direito, no prazo estabelecido no subitem anterior.</w:t>
      </w:r>
    </w:p>
    <w:p>
      <w:pPr>
        <w:pStyle w:val="Nvel2-Red"/>
        <w:numPr>
          <w:ilvl w:val="1"/>
          <w:numId w:val="18"/>
        </w:numPr>
        <w:spacing w:lineRule="auto" w:line="240" w:before="0" w:after="0"/>
        <w:ind w:hanging="405" w:left="1418"/>
        <w:rPr>
          <w:i w:val="false"/>
          <w:color w:themeColor="text1" w:val="000000"/>
          <w:sz w:val="18"/>
          <w:szCs w:val="18"/>
        </w:rPr>
      </w:pPr>
      <w:r>
        <w:rPr>
          <w:i w:val="false"/>
          <w:iCs w:val="false"/>
          <w:color w:themeColor="text1" w:val="000000"/>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pPr>
        <w:pStyle w:val="Nvel2-Red"/>
        <w:numPr>
          <w:ilvl w:val="1"/>
          <w:numId w:val="18"/>
        </w:numPr>
        <w:spacing w:lineRule="auto" w:line="240" w:before="0" w:after="0"/>
        <w:ind w:hanging="405" w:left="1418"/>
        <w:rPr>
          <w:i w:val="false"/>
          <w:color w:themeColor="text1" w:val="000000"/>
          <w:sz w:val="18"/>
          <w:szCs w:val="18"/>
        </w:rPr>
      </w:pPr>
      <w:r>
        <w:rPr>
          <w:i w:val="false"/>
          <w:iCs w:val="false"/>
          <w:color w:themeColor="text1" w:val="000000"/>
          <w:sz w:val="18"/>
          <w:szCs w:val="18"/>
        </w:rPr>
        <w:t xml:space="preserve">Só poderá haver empate entre propostas iguais (não seguidas de lances), ou entre lances finais da fase fechada do modo de disputa aberto. </w:t>
      </w:r>
    </w:p>
    <w:p>
      <w:pPr>
        <w:pStyle w:val="Nvel2-Red"/>
        <w:numPr>
          <w:ilvl w:val="1"/>
          <w:numId w:val="18"/>
        </w:numPr>
        <w:spacing w:lineRule="auto" w:line="240" w:before="0" w:after="0"/>
        <w:ind w:hanging="405" w:left="1276"/>
        <w:rPr>
          <w:i w:val="false"/>
          <w:color w:themeColor="text1" w:val="000000"/>
          <w:sz w:val="18"/>
          <w:szCs w:val="18"/>
        </w:rPr>
      </w:pPr>
      <w:r>
        <w:rPr>
          <w:i w:val="false"/>
          <w:iCs w:val="false"/>
          <w:color w:themeColor="text1" w:val="000000"/>
          <w:sz w:val="18"/>
          <w:szCs w:val="18"/>
        </w:rPr>
        <w:t xml:space="preserve">Havendo eventual empate entre propostas ou lances, o critério de desempate será aquele previsto no </w:t>
      </w:r>
      <w:hyperlink r:id="rId14" w:tooltip="http://www.planalto.gov.br/ccivil_03/_ato2019-2022/2021/lei/L14133.htm#art60&quot; l &quot;art60">
        <w:r>
          <w:rPr>
            <w:rStyle w:val="Style"/>
            <w:rFonts w:eastAsia="Arial"/>
            <w:i w:val="false"/>
            <w:iCs w:val="false"/>
            <w:color w:themeColor="text1" w:val="000000"/>
            <w:sz w:val="18"/>
            <w:szCs w:val="18"/>
            <w:u w:val="single"/>
          </w:rPr>
          <w:t>art</w:t>
        </w:r>
        <w:r>
          <w:rPr>
            <w:rStyle w:val="Style"/>
            <w:i w:val="false"/>
            <w:iCs w:val="false"/>
            <w:color w:themeColor="text1" w:val="000000"/>
            <w:sz w:val="18"/>
            <w:szCs w:val="18"/>
            <w:u w:val="single"/>
          </w:rPr>
          <w:t>. 60 da Lei nº 14.133, de 2021</w:t>
        </w:r>
      </w:hyperlink>
      <w:r>
        <w:rPr>
          <w:i w:val="false"/>
          <w:iCs w:val="false"/>
          <w:color w:themeColor="text1" w:val="000000"/>
          <w:sz w:val="18"/>
          <w:szCs w:val="18"/>
        </w:rPr>
        <w:t>, nesta ordem:</w:t>
      </w:r>
    </w:p>
    <w:p>
      <w:pPr>
        <w:pStyle w:val="Nvel2-Red"/>
        <w:numPr>
          <w:ilvl w:val="1"/>
          <w:numId w:val="18"/>
        </w:numPr>
        <w:spacing w:lineRule="auto" w:line="240" w:before="0" w:after="0"/>
        <w:ind w:hanging="405" w:left="1276"/>
        <w:rPr>
          <w:i w:val="false"/>
          <w:color w:themeColor="text1" w:val="000000"/>
          <w:sz w:val="18"/>
          <w:szCs w:val="18"/>
        </w:rPr>
      </w:pPr>
      <w:r>
        <w:rPr>
          <w:i w:val="false"/>
          <w:iCs w:val="false"/>
          <w:color w:themeColor="text1" w:val="000000"/>
          <w:sz w:val="18"/>
          <w:szCs w:val="18"/>
        </w:rPr>
        <w:t>Disputa final, hipótese em que os licitantes empatados poderão apresentar nova proposta em ato contínuo à classificação;</w:t>
      </w:r>
    </w:p>
    <w:p>
      <w:pPr>
        <w:pStyle w:val="Nvel2-Red"/>
        <w:numPr>
          <w:ilvl w:val="1"/>
          <w:numId w:val="18"/>
        </w:numPr>
        <w:spacing w:lineRule="auto" w:line="240" w:before="0" w:after="0"/>
        <w:ind w:hanging="405" w:left="1276"/>
        <w:rPr>
          <w:i w:val="false"/>
          <w:color w:themeColor="text1" w:val="000000"/>
          <w:sz w:val="18"/>
          <w:szCs w:val="18"/>
        </w:rPr>
      </w:pPr>
      <w:r>
        <w:rPr>
          <w:i w:val="false"/>
          <w:iCs w:val="false"/>
          <w:color w:themeColor="text1" w:val="000000"/>
          <w:sz w:val="18"/>
          <w:szCs w:val="18"/>
        </w:rPr>
        <w:t>Avaliação do desempenho contratual prévio dos licitantes, para a qual deverão preferencialmente ser utilizados registros cadastrais para efeito de atesto de cumprimento de obrigações previstos nesta Lei;</w:t>
      </w:r>
    </w:p>
    <w:p>
      <w:pPr>
        <w:pStyle w:val="Nvel2-Red"/>
        <w:numPr>
          <w:ilvl w:val="1"/>
          <w:numId w:val="18"/>
        </w:numPr>
        <w:spacing w:lineRule="auto" w:line="240" w:before="0" w:after="0"/>
        <w:ind w:hanging="405" w:left="1276"/>
        <w:rPr>
          <w:i w:val="false"/>
          <w:color w:themeColor="text1" w:val="000000"/>
          <w:sz w:val="18"/>
          <w:szCs w:val="18"/>
        </w:rPr>
      </w:pPr>
      <w:r>
        <w:rPr>
          <w:i w:val="false"/>
          <w:iCs w:val="false"/>
          <w:color w:themeColor="text1" w:val="000000"/>
          <w:sz w:val="18"/>
          <w:szCs w:val="18"/>
        </w:rPr>
        <w:t>Desenvolvimento pelo licitante de ações de equidade entre homens e mulheres no ambiente de trabalho, conforme regulamento;</w:t>
      </w:r>
    </w:p>
    <w:p>
      <w:pPr>
        <w:pStyle w:val="Nvel2-Red"/>
        <w:numPr>
          <w:ilvl w:val="1"/>
          <w:numId w:val="18"/>
        </w:numPr>
        <w:spacing w:lineRule="auto" w:line="240" w:before="0" w:after="0"/>
        <w:ind w:hanging="405" w:left="1276"/>
        <w:rPr>
          <w:i w:val="false"/>
          <w:color w:themeColor="text1" w:val="000000"/>
          <w:sz w:val="18"/>
          <w:szCs w:val="18"/>
        </w:rPr>
      </w:pPr>
      <w:r>
        <w:rPr>
          <w:i w:val="false"/>
          <w:iCs w:val="false"/>
          <w:color w:themeColor="text1" w:val="000000"/>
          <w:sz w:val="18"/>
          <w:szCs w:val="18"/>
        </w:rPr>
        <w:t>Desenvolvimento pelo licitante de programa de integridade, conforme orientações dos órgãos de controle.</w:t>
      </w:r>
    </w:p>
    <w:p>
      <w:pPr>
        <w:pStyle w:val="Nvel2-Red"/>
        <w:numPr>
          <w:ilvl w:val="1"/>
          <w:numId w:val="18"/>
        </w:numPr>
        <w:spacing w:lineRule="auto" w:line="240" w:before="0" w:after="0"/>
        <w:ind w:hanging="405" w:left="1276"/>
        <w:rPr>
          <w:i w:val="false"/>
          <w:color w:themeColor="text1" w:val="000000"/>
          <w:sz w:val="18"/>
          <w:szCs w:val="18"/>
        </w:rPr>
      </w:pPr>
      <w:r>
        <w:rPr>
          <w:i w:val="false"/>
          <w:iCs w:val="false"/>
          <w:color w:themeColor="text1" w:val="000000"/>
          <w:sz w:val="18"/>
          <w:szCs w:val="18"/>
        </w:rPr>
        <w:t>Persistindo o empate, será assegurada preferência, sucessivamente, aos bens e serviços produzidos ou prestados por:</w:t>
      </w:r>
    </w:p>
    <w:p>
      <w:pPr>
        <w:pStyle w:val="Nvel2-Red"/>
        <w:numPr>
          <w:ilvl w:val="1"/>
          <w:numId w:val="18"/>
        </w:numPr>
        <w:spacing w:lineRule="auto" w:line="240" w:before="0" w:after="0"/>
        <w:ind w:hanging="405" w:left="1276"/>
        <w:rPr>
          <w:i w:val="false"/>
          <w:color w:themeColor="text1" w:val="000000"/>
          <w:sz w:val="18"/>
          <w:szCs w:val="18"/>
        </w:rPr>
      </w:pPr>
      <w:r>
        <w:rPr>
          <w:i w:val="false"/>
          <w:iCs w:val="false"/>
          <w:color w:themeColor="text1" w:val="000000"/>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Nvel2-Red"/>
        <w:numPr>
          <w:ilvl w:val="1"/>
          <w:numId w:val="18"/>
        </w:numPr>
        <w:spacing w:lineRule="auto" w:line="240" w:before="0" w:after="0"/>
        <w:ind w:hanging="405" w:left="1276"/>
        <w:rPr>
          <w:i w:val="false"/>
          <w:color w:themeColor="text1" w:val="000000"/>
          <w:sz w:val="18"/>
          <w:szCs w:val="18"/>
        </w:rPr>
      </w:pPr>
      <w:r>
        <w:rPr>
          <w:i w:val="false"/>
          <w:iCs w:val="false"/>
          <w:color w:themeColor="text1" w:val="000000"/>
          <w:sz w:val="18"/>
          <w:szCs w:val="18"/>
        </w:rPr>
        <w:t>Empresas brasileiras;</w:t>
      </w:r>
    </w:p>
    <w:p>
      <w:pPr>
        <w:pStyle w:val="Nvel2-Red"/>
        <w:numPr>
          <w:ilvl w:val="1"/>
          <w:numId w:val="18"/>
        </w:numPr>
        <w:spacing w:lineRule="auto" w:line="240" w:before="0" w:after="0"/>
        <w:ind w:hanging="405" w:left="1276"/>
        <w:rPr>
          <w:i w:val="false"/>
          <w:color w:themeColor="text1" w:val="000000"/>
          <w:sz w:val="18"/>
          <w:szCs w:val="18"/>
        </w:rPr>
      </w:pPr>
      <w:r>
        <w:rPr>
          <w:i w:val="false"/>
          <w:iCs w:val="false"/>
          <w:color w:themeColor="text1" w:val="000000"/>
          <w:sz w:val="18"/>
          <w:szCs w:val="18"/>
        </w:rPr>
        <w:t>Empresas que invistam em pesquisa e no desenvolvimento de tecnologia no País;</w:t>
      </w:r>
    </w:p>
    <w:p>
      <w:pPr>
        <w:pStyle w:val="Nvel2-Red"/>
        <w:numPr>
          <w:ilvl w:val="1"/>
          <w:numId w:val="18"/>
        </w:numPr>
        <w:spacing w:lineRule="auto" w:line="240" w:before="0" w:after="0"/>
        <w:ind w:hanging="405" w:left="1276"/>
        <w:rPr>
          <w:i w:val="false"/>
          <w:color w:themeColor="text1" w:val="000000"/>
          <w:sz w:val="18"/>
          <w:szCs w:val="18"/>
        </w:rPr>
      </w:pPr>
      <w:r>
        <w:rPr>
          <w:i w:val="false"/>
          <w:iCs w:val="false"/>
          <w:color w:themeColor="text1" w:val="000000"/>
          <w:sz w:val="18"/>
          <w:szCs w:val="18"/>
        </w:rPr>
        <w:t>Empresas que comprovem a prática de mitigação, nos termos da </w:t>
      </w:r>
      <w:hyperlink r:id="rId15" w:tooltip="https://www.planalto.gov.br/ccivil_03/_ato2007-2010/2009/lei/l12187.htm#:~:text=LEI%20N%C2%BA%2012.187%2C%20DE%2029%20DE%20DEZEMBRO%20DE%202009.&amp;text=Institui%20a%20Pol%C3%ADtica%20Nacional%20sobre,PNMC%20e%20d%C3%A1%20outras%20provid%C3%AAncias.&quot; l &quot;:~:text=L">
        <w:r>
          <w:rPr>
            <w:rStyle w:val="Style"/>
            <w:i w:val="false"/>
            <w:iCs w:val="false"/>
            <w:color w:themeColor="text1" w:val="000000"/>
            <w:sz w:val="18"/>
            <w:szCs w:val="18"/>
            <w:u w:val="single"/>
          </w:rPr>
          <w:t>Lei nº 12.187, de 29 de dezembro de 2009</w:t>
        </w:r>
      </w:hyperlink>
      <w:r>
        <w:rPr>
          <w:i w:val="false"/>
          <w:iCs w:val="false"/>
          <w:color w:themeColor="text1" w:val="000000"/>
          <w:sz w:val="18"/>
          <w:szCs w:val="18"/>
        </w:rPr>
        <w:t>.</w:t>
      </w:r>
    </w:p>
    <w:p>
      <w:pPr>
        <w:pStyle w:val="Nvel2-Red"/>
        <w:numPr>
          <w:ilvl w:val="1"/>
          <w:numId w:val="18"/>
        </w:numPr>
        <w:spacing w:lineRule="auto" w:line="240" w:before="0" w:after="0"/>
        <w:ind w:hanging="405" w:left="1276"/>
        <w:rPr>
          <w:i w:val="false"/>
          <w:color w:themeColor="text1" w:val="000000"/>
          <w:sz w:val="18"/>
          <w:szCs w:val="18"/>
        </w:rPr>
      </w:pPr>
      <w:r>
        <w:rPr>
          <w:i w:val="false"/>
          <w:iCs w:val="false"/>
          <w:color w:themeColor="text1" w:val="000000"/>
          <w:sz w:val="18"/>
          <w:szCs w:val="18"/>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pPr>
        <w:pStyle w:val="Nvel2-Red"/>
        <w:numPr>
          <w:ilvl w:val="1"/>
          <w:numId w:val="18"/>
        </w:numPr>
        <w:spacing w:lineRule="auto" w:line="240" w:before="0" w:after="0"/>
        <w:ind w:hanging="405" w:left="1276"/>
        <w:rPr>
          <w:i w:val="false"/>
          <w:color w:themeColor="text1" w:val="000000"/>
          <w:sz w:val="18"/>
          <w:szCs w:val="18"/>
        </w:rPr>
      </w:pPr>
      <w:r>
        <w:rPr>
          <w:i w:val="false"/>
          <w:iCs w:val="false"/>
          <w:color w:themeColor="text1" w:val="000000"/>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pStyle w:val="Nvel2-Red"/>
        <w:numPr>
          <w:ilvl w:val="2"/>
          <w:numId w:val="18"/>
        </w:numPr>
        <w:spacing w:lineRule="auto" w:line="240" w:before="0" w:after="0"/>
        <w:ind w:firstLine="170" w:left="1276"/>
        <w:rPr>
          <w:i w:val="false"/>
          <w:color w:themeColor="text1" w:val="000000"/>
          <w:sz w:val="18"/>
          <w:szCs w:val="18"/>
        </w:rPr>
      </w:pPr>
      <w:r>
        <w:rPr>
          <w:rFonts w:eastAsia="Times New Roman"/>
          <w:i w:val="false"/>
          <w:iCs w:val="false"/>
          <w:color w:themeColor="text1" w:val="000000"/>
          <w:sz w:val="18"/>
          <w:szCs w:val="18"/>
        </w:rPr>
        <w:t xml:space="preserve">A </w:t>
      </w:r>
      <w:r>
        <w:rPr>
          <w:i w:val="false"/>
          <w:iCs w:val="false"/>
          <w:color w:themeColor="text1" w:val="000000"/>
          <w:sz w:val="18"/>
          <w:szCs w:val="18"/>
        </w:rPr>
        <w:t>negociação será realizada por meio do sistema, podendo ser acompanhada pelos demais licitantes.</w:t>
      </w:r>
    </w:p>
    <w:p>
      <w:pPr>
        <w:pStyle w:val="Nvel2-Red"/>
        <w:numPr>
          <w:ilvl w:val="2"/>
          <w:numId w:val="18"/>
        </w:numPr>
        <w:spacing w:lineRule="auto" w:line="240" w:before="0" w:after="0"/>
        <w:ind w:firstLine="57" w:left="1276"/>
        <w:rPr>
          <w:i w:val="false"/>
          <w:color w:themeColor="text1" w:val="000000"/>
          <w:sz w:val="18"/>
          <w:szCs w:val="18"/>
        </w:rPr>
      </w:pPr>
      <w:r>
        <w:rPr>
          <w:i w:val="false"/>
          <w:iCs w:val="false"/>
          <w:color w:themeColor="text1" w:val="000000"/>
          <w:sz w:val="18"/>
          <w:szCs w:val="18"/>
        </w:rPr>
        <w:t>O resultado da negociação será divulgado a todos os licitantes e anexado aos autos do processo licitatório.</w:t>
      </w:r>
    </w:p>
    <w:p>
      <w:pPr>
        <w:pStyle w:val="Nvel2-Red"/>
        <w:numPr>
          <w:ilvl w:val="2"/>
          <w:numId w:val="18"/>
        </w:numPr>
        <w:spacing w:lineRule="auto" w:line="240" w:before="0" w:after="0"/>
        <w:ind w:firstLine="113" w:left="1276"/>
        <w:rPr>
          <w:i w:val="false"/>
          <w:color w:themeColor="text1" w:val="000000"/>
          <w:sz w:val="18"/>
          <w:szCs w:val="18"/>
        </w:rPr>
      </w:pPr>
      <w:r>
        <w:rPr>
          <w:i w:val="false"/>
          <w:iCs w:val="false"/>
          <w:color w:themeColor="text1" w:val="000000"/>
          <w:sz w:val="18"/>
          <w:szCs w:val="18"/>
        </w:rPr>
        <w:t>O pregoeiro solicitará à licitante classificada em primeiro lugar que encaminhe, no prazo de 2 (duas) horas, prorrogável mediante justificativa aceita pela Administração, a proposta readequada ao último lance ofertado, acompanhada, quando solicitado, dos documentos complementares necessários à confirmação das informações apresentadas e à análise da aceitabilidade da proposta.</w:t>
      </w:r>
    </w:p>
    <w:p>
      <w:pPr>
        <w:pStyle w:val="Nvel2-Red"/>
        <w:numPr>
          <w:ilvl w:val="2"/>
          <w:numId w:val="18"/>
        </w:numPr>
        <w:spacing w:lineRule="auto" w:line="240" w:before="0" w:after="0"/>
        <w:ind w:firstLine="113" w:left="1276"/>
        <w:rPr>
          <w:i w:val="false"/>
          <w:color w:themeColor="text1" w:val="000000"/>
          <w:sz w:val="18"/>
          <w:szCs w:val="18"/>
        </w:rPr>
      </w:pPr>
      <w:r>
        <w:rPr>
          <w:i w:val="false"/>
          <w:iCs w:val="false"/>
          <w:color w:themeColor="text1" w:val="000000"/>
          <w:sz w:val="18"/>
          <w:szCs w:val="18"/>
        </w:rPr>
        <w:t>É facultado ao pregoeiro prorrogar o prazo estabelecido, a partir de solicitação fundamentada feita no chat pelo licitante, antes de findo o prazo.</w:t>
      </w:r>
    </w:p>
    <w:p>
      <w:pPr>
        <w:pStyle w:val="Nvel2-Red"/>
        <w:numPr>
          <w:ilvl w:val="2"/>
          <w:numId w:val="18"/>
        </w:numPr>
        <w:spacing w:lineRule="auto" w:line="240" w:before="0" w:after="0"/>
        <w:ind w:firstLine="113" w:left="1276"/>
        <w:rPr>
          <w:b/>
          <w:i w:val="false"/>
          <w:color w:themeColor="text1" w:val="000000"/>
          <w:sz w:val="18"/>
          <w:szCs w:val="18"/>
        </w:rPr>
      </w:pPr>
      <w:bookmarkStart w:id="26" w:name="_Hlk114646655"/>
      <w:r>
        <w:rPr>
          <w:i w:val="false"/>
          <w:iCs w:val="false"/>
          <w:color w:themeColor="text1" w:val="000000"/>
          <w:sz w:val="18"/>
          <w:szCs w:val="18"/>
        </w:rPr>
        <w:t>Após a negociação do preço, o Pregoeiro iniciará a fase de aceitação e julgamento da proposta</w:t>
      </w:r>
      <w:bookmarkEnd w:id="26"/>
      <w:r>
        <w:rPr>
          <w:i w:val="false"/>
          <w:iCs w:val="false"/>
          <w:color w:themeColor="text1" w:val="000000"/>
          <w:sz w:val="18"/>
          <w:szCs w:val="18"/>
        </w:rPr>
        <w:t>.</w:t>
      </w:r>
    </w:p>
    <w:p>
      <w:pPr>
        <w:pStyle w:val="Nvel2-Red"/>
        <w:numPr>
          <w:ilvl w:val="2"/>
          <w:numId w:val="18"/>
        </w:numPr>
        <w:spacing w:lineRule="auto" w:line="240" w:before="0" w:after="0"/>
        <w:ind w:firstLine="113" w:left="1276"/>
        <w:rPr>
          <w:b/>
          <w:i w:val="false"/>
          <w:iCs w:val="false"/>
          <w:color w:themeColor="text1" w:val="000000"/>
          <w:sz w:val="18"/>
          <w:szCs w:val="18"/>
        </w:rPr>
      </w:pPr>
      <w:r>
        <w:rPr>
          <w:i w:val="false"/>
          <w:iCs w:val="false"/>
          <w:color w:themeColor="text1" w:val="000000"/>
          <w:sz w:val="18"/>
          <w:szCs w:val="18"/>
        </w:rPr>
        <w:t>A proposta readequada deverá refletir fielmente o último lance ofertado, sendo vedada qualquer alteração que modifique sua essência, os quantitativos, as condições inicialmente propostas ou importe em vantagem não prevista originalmente.</w:t>
      </w:r>
    </w:p>
    <w:p>
      <w:pPr>
        <w:pStyle w:val="Nvel2-Red"/>
        <w:numPr>
          <w:ilvl w:val="2"/>
          <w:numId w:val="18"/>
        </w:numPr>
        <w:spacing w:lineRule="auto" w:line="240" w:before="0" w:after="0"/>
        <w:ind w:firstLine="113" w:left="1276"/>
        <w:rPr>
          <w:b/>
          <w:i w:val="false"/>
          <w:iCs w:val="false"/>
          <w:color w:themeColor="text1" w:val="000000"/>
          <w:sz w:val="18"/>
          <w:szCs w:val="18"/>
        </w:rPr>
      </w:pPr>
      <w:r>
        <w:rPr>
          <w:rFonts w:eastAsia="Times New Roman"/>
          <w:i w:val="false"/>
          <w:iCs w:val="false"/>
          <w:color w:themeColor="text1" w:val="000000"/>
          <w:sz w:val="18"/>
          <w:szCs w:val="18"/>
        </w:rPr>
        <w:t>Sempre que houver indícios de inexequibilidade da proposta, o Agente de Contratação poderá promover diligência para verificar sua viabilidade, podendo solicitar:</w:t>
      </w:r>
    </w:p>
    <w:p>
      <w:pPr>
        <w:pStyle w:val="ListParagraph"/>
        <w:suppressAutoHyphens w:val="false"/>
        <w:ind w:left="1418"/>
        <w:rPr>
          <w:rFonts w:ascii="Arial" w:hAnsi="Arial" w:eastAsia="Times New Roman" w:cs="Arial"/>
          <w:sz w:val="18"/>
          <w:szCs w:val="18"/>
        </w:rPr>
      </w:pPr>
      <w:r>
        <w:rPr>
          <w:rFonts w:eastAsia="Times New Roman" w:cs="Arial" w:ascii="Arial" w:hAnsi="Arial"/>
          <w:sz w:val="18"/>
          <w:szCs w:val="18"/>
        </w:rPr>
        <w:t>I – planilha analítica de composição dos custos;</w:t>
      </w:r>
    </w:p>
    <w:p>
      <w:pPr>
        <w:pStyle w:val="ListParagraph"/>
        <w:suppressAutoHyphens w:val="false"/>
        <w:spacing w:beforeAutospacing="1" w:afterAutospacing="1"/>
        <w:ind w:left="1418"/>
        <w:contextualSpacing/>
        <w:rPr>
          <w:rFonts w:ascii="Arial" w:hAnsi="Arial" w:eastAsia="Times New Roman" w:cs="Arial"/>
          <w:sz w:val="18"/>
          <w:szCs w:val="18"/>
        </w:rPr>
      </w:pPr>
      <w:r>
        <w:rPr>
          <w:rFonts w:eastAsia="Times New Roman" w:cs="Arial" w:ascii="Arial" w:hAnsi="Arial"/>
          <w:sz w:val="18"/>
          <w:szCs w:val="18"/>
        </w:rPr>
        <w:t>II – memória de cálculo;</w:t>
      </w:r>
    </w:p>
    <w:p>
      <w:pPr>
        <w:pStyle w:val="ListParagraph"/>
        <w:suppressAutoHyphens w:val="false"/>
        <w:spacing w:beforeAutospacing="1" w:afterAutospacing="1"/>
        <w:ind w:left="1418"/>
        <w:contextualSpacing/>
        <w:rPr>
          <w:rFonts w:ascii="Arial" w:hAnsi="Arial" w:eastAsia="Times New Roman" w:cs="Arial"/>
          <w:sz w:val="18"/>
          <w:szCs w:val="18"/>
        </w:rPr>
      </w:pPr>
      <w:r>
        <w:rPr>
          <w:rFonts w:eastAsia="Times New Roman" w:cs="Arial" w:ascii="Arial" w:hAnsi="Arial"/>
          <w:sz w:val="18"/>
          <w:szCs w:val="18"/>
        </w:rPr>
        <w:t>III – documentos comprobatórios;</w:t>
      </w:r>
    </w:p>
    <w:p>
      <w:pPr>
        <w:pStyle w:val="ListParagraph"/>
        <w:suppressAutoHyphens w:val="false"/>
        <w:spacing w:beforeAutospacing="1" w:after="0"/>
        <w:ind w:left="1418"/>
        <w:contextualSpacing/>
        <w:rPr>
          <w:rFonts w:ascii="Arial" w:hAnsi="Arial" w:eastAsia="Times New Roman" w:cs="Arial"/>
          <w:sz w:val="18"/>
          <w:szCs w:val="18"/>
        </w:rPr>
      </w:pPr>
      <w:r>
        <w:rPr>
          <w:rFonts w:eastAsia="Times New Roman" w:cs="Arial" w:ascii="Arial" w:hAnsi="Arial"/>
          <w:sz w:val="18"/>
          <w:szCs w:val="18"/>
        </w:rPr>
        <w:t>IV – justificativas técnicas;</w:t>
      </w:r>
    </w:p>
    <w:p>
      <w:pPr>
        <w:pStyle w:val="Nvel2-Red"/>
        <w:numPr>
          <w:ilvl w:val="0"/>
          <w:numId w:val="0"/>
        </w:numPr>
        <w:spacing w:lineRule="auto" w:line="240" w:before="0" w:after="0"/>
        <w:ind w:hanging="0" w:left="1418"/>
        <w:rPr>
          <w:rFonts w:eastAsia="Times New Roman"/>
          <w:i w:val="false"/>
          <w:iCs w:val="false"/>
          <w:color w:themeColor="text1" w:val="000000"/>
          <w:sz w:val="18"/>
          <w:szCs w:val="18"/>
        </w:rPr>
      </w:pPr>
      <w:r>
        <w:rPr>
          <w:rFonts w:eastAsia="Times New Roman"/>
          <w:i w:val="false"/>
          <w:iCs w:val="false"/>
          <w:color w:themeColor="text1" w:val="000000"/>
          <w:sz w:val="18"/>
          <w:szCs w:val="18"/>
        </w:rPr>
        <w:t>V – quaisquer outras informações consideradas necessárias ao julgamento da proposta</w:t>
      </w:r>
    </w:p>
    <w:p>
      <w:pPr>
        <w:pStyle w:val="Nvel2-Red"/>
        <w:numPr>
          <w:ilvl w:val="0"/>
          <w:numId w:val="0"/>
        </w:numPr>
        <w:spacing w:lineRule="auto" w:line="240" w:before="0" w:after="0"/>
        <w:ind w:hanging="0" w:left="1418"/>
        <w:rPr>
          <w:b/>
          <w:i w:val="false"/>
          <w:iCs w:val="false"/>
          <w:color w:themeColor="text1" w:val="000000"/>
          <w:sz w:val="18"/>
          <w:szCs w:val="18"/>
        </w:rPr>
      </w:pPr>
      <w:r>
        <w:rPr>
          <w:rFonts w:eastAsia="Times New Roman"/>
          <w:i w:val="false"/>
          <w:iCs w:val="false"/>
          <w:color w:themeColor="text1" w:val="000000"/>
          <w:sz w:val="18"/>
          <w:szCs w:val="18"/>
        </w:rPr>
        <w:t>VI - comprovação de disponibilidade operacional para execução dos serviços, quando necessária ao esclarecimento da proposta.</w:t>
      </w:r>
    </w:p>
    <w:p>
      <w:pPr>
        <w:pStyle w:val="Nvel2-Red"/>
        <w:numPr>
          <w:ilvl w:val="2"/>
          <w:numId w:val="18"/>
        </w:numPr>
        <w:spacing w:lineRule="auto" w:line="240" w:before="0" w:after="0"/>
        <w:ind w:firstLine="113" w:left="1276"/>
        <w:rPr>
          <w:b/>
          <w:i w:val="false"/>
          <w:iCs w:val="false"/>
          <w:color w:themeColor="text1" w:val="000000"/>
          <w:sz w:val="18"/>
          <w:szCs w:val="18"/>
        </w:rPr>
      </w:pPr>
      <w:r>
        <w:rPr>
          <w:b/>
          <w:i w:val="false"/>
          <w:iCs w:val="false"/>
          <w:color w:themeColor="text1" w:val="000000"/>
          <w:sz w:val="18"/>
          <w:szCs w:val="18"/>
        </w:rPr>
        <w:t xml:space="preserve"> </w:t>
      </w:r>
      <w:r>
        <w:rPr>
          <w:i w:val="false"/>
          <w:iCs w:val="false"/>
          <w:color w:themeColor="text1" w:val="000000"/>
          <w:sz w:val="18"/>
          <w:szCs w:val="18"/>
        </w:rPr>
        <w:t>O não atendimento da diligência ou a não comprovação da exequibilidade da proposta poderá ensejar sua desclassificação, mediante decisão fundamentada.</w:t>
      </w:r>
    </w:p>
    <w:p>
      <w:pPr>
        <w:pStyle w:val="Nvel2-Red"/>
        <w:numPr>
          <w:ilvl w:val="2"/>
          <w:numId w:val="18"/>
        </w:numPr>
        <w:spacing w:lineRule="auto" w:line="240" w:before="0" w:after="0"/>
        <w:ind w:firstLine="113" w:left="1276"/>
        <w:rPr>
          <w:bCs/>
          <w:i w:val="false"/>
          <w:iCs w:val="false"/>
          <w:color w:themeColor="text1" w:val="000000"/>
          <w:sz w:val="18"/>
          <w:szCs w:val="18"/>
        </w:rPr>
      </w:pPr>
      <w:r>
        <w:rPr>
          <w:bCs/>
          <w:i w:val="false"/>
          <w:iCs w:val="false"/>
          <w:color w:themeColor="text1" w:val="000000"/>
          <w:sz w:val="18"/>
          <w:szCs w:val="18"/>
        </w:rPr>
        <w:t>Os erros meramente formais existentes na proposta poderão ser saneados, desde que não alterem seu conteúdo essencial, o valor ofertado ou prejudiquem a isonomia entre os licitantes, observado o disposto na Lei Federal nº 14.133/2021.</w:t>
      </w:r>
    </w:p>
    <w:p>
      <w:pPr>
        <w:pStyle w:val="Nvel2-Red"/>
        <w:numPr>
          <w:ilvl w:val="0"/>
          <w:numId w:val="0"/>
        </w:numPr>
        <w:spacing w:lineRule="auto" w:line="240" w:before="0" w:after="0"/>
        <w:ind w:hanging="0" w:left="999"/>
        <w:rPr>
          <w:b/>
          <w:i w:val="false"/>
          <w:color w:themeColor="text1" w:val="000000"/>
          <w:sz w:val="18"/>
          <w:szCs w:val="18"/>
        </w:rPr>
      </w:pPr>
      <w:r>
        <w:rPr>
          <w:b/>
          <w:i w:val="false"/>
          <w:color w:themeColor="text1" w:val="000000"/>
          <w:sz w:val="18"/>
          <w:szCs w:val="18"/>
        </w:rPr>
      </w:r>
    </w:p>
    <w:p>
      <w:pPr>
        <w:pStyle w:val="Nvel2-Red"/>
        <w:numPr>
          <w:ilvl w:val="0"/>
          <w:numId w:val="18"/>
        </w:numPr>
        <w:spacing w:lineRule="auto" w:line="240" w:before="0" w:after="0"/>
        <w:ind w:hanging="432" w:left="999"/>
        <w:rPr>
          <w:b/>
          <w:i w:val="false"/>
          <w:color w:themeColor="text1" w:val="000000"/>
          <w:sz w:val="18"/>
          <w:szCs w:val="18"/>
        </w:rPr>
      </w:pPr>
      <w:bookmarkStart w:id="27" w:name="_Toc135469229"/>
      <w:r>
        <w:rPr>
          <w:b/>
          <w:bCs/>
          <w:i w:val="false"/>
          <w:iCs w:val="false"/>
          <w:color w:themeColor="text1" w:val="000000"/>
          <w:sz w:val="18"/>
          <w:szCs w:val="18"/>
        </w:rPr>
        <w:t>DA FASE DE JULGAMENTO</w:t>
      </w:r>
      <w:bookmarkEnd w:id="27"/>
    </w:p>
    <w:p>
      <w:pPr>
        <w:pStyle w:val="Nvel2-Red"/>
        <w:numPr>
          <w:ilvl w:val="1"/>
          <w:numId w:val="18"/>
        </w:numPr>
        <w:spacing w:lineRule="auto" w:line="240" w:before="0" w:after="0"/>
        <w:ind w:hanging="405" w:left="1276"/>
        <w:rPr>
          <w:i w:val="false"/>
          <w:color w:themeColor="text1" w:val="000000"/>
          <w:sz w:val="18"/>
          <w:szCs w:val="18"/>
        </w:rPr>
      </w:pPr>
      <w:bookmarkStart w:id="28" w:name="_Ref117019424"/>
      <w:r>
        <w:rPr>
          <w:i w:val="false"/>
          <w:iCs w:val="false"/>
          <w:color w:themeColor="text1" w:val="000000"/>
          <w:sz w:val="18"/>
          <w:szCs w:val="18"/>
        </w:rPr>
        <w:t xml:space="preserve">Encerrada a etapa de negociação, o pregoeiro verificará se o licitante provisoriamente classificado em primeiro lugar atende às condições de participação no certame, conforme previsto no </w:t>
      </w:r>
      <w:hyperlink r:id="rId16" w:tooltip="http://www.planalto.gov.br/ccivil_03/_ato2019-2022/2021/lei/L14133.htm#art14&quot; l &quot;art14">
        <w:r>
          <w:rPr>
            <w:rStyle w:val="Style"/>
            <w:i w:val="false"/>
            <w:iCs w:val="false"/>
            <w:color w:themeColor="text1" w:val="000000"/>
            <w:sz w:val="18"/>
            <w:szCs w:val="18"/>
            <w:u w:val="single"/>
          </w:rPr>
          <w:t>art. 14 da Lei nº 14.133/2021</w:t>
        </w:r>
      </w:hyperlink>
      <w:r>
        <w:rPr>
          <w:i w:val="false"/>
          <w:iCs w:val="false"/>
          <w:color w:themeColor="text1" w:val="000000"/>
          <w:sz w:val="18"/>
          <w:szCs w:val="18"/>
        </w:rPr>
        <w:t xml:space="preserve">, legislação correlata e no item 3.5 do edital, </w:t>
      </w:r>
      <w:bookmarkEnd w:id="28"/>
      <w:r>
        <w:rPr>
          <w:i w:val="false"/>
          <w:iCs w:val="false"/>
          <w:color w:themeColor="text1" w:val="000000"/>
          <w:sz w:val="18"/>
          <w:szCs w:val="18"/>
          <w:lang w:eastAsia="ar-SA"/>
        </w:rPr>
        <w:t>especialmente quanto à existência de sanção que impeça a participação no certame ou a futura contratação, mediante a consulta aos seguintes cadastros:</w:t>
      </w:r>
    </w:p>
    <w:p>
      <w:pPr>
        <w:pStyle w:val="Nvel2-Red"/>
        <w:numPr>
          <w:ilvl w:val="2"/>
          <w:numId w:val="18"/>
        </w:numPr>
        <w:spacing w:lineRule="auto" w:line="240" w:before="0" w:after="0"/>
        <w:ind w:hanging="432" w:left="1560"/>
        <w:rPr>
          <w:i w:val="false"/>
          <w:color w:themeColor="text1" w:val="000000"/>
          <w:sz w:val="18"/>
          <w:szCs w:val="18"/>
        </w:rPr>
      </w:pPr>
      <w:r>
        <w:rPr>
          <w:i w:val="false"/>
          <w:iCs w:val="false"/>
          <w:color w:themeColor="text1" w:val="000000"/>
          <w:sz w:val="18"/>
          <w:szCs w:val="18"/>
          <w:lang w:eastAsia="ar-SA"/>
        </w:rPr>
        <w:t>Cadastro Nacional de Empresas Inidôneas e Suspensas - CEIS, mantido pela Controladoria-Geral da União (</w:t>
      </w:r>
      <w:hyperlink r:id="rId17" w:tooltip="https://www.portaltransparencia.gov.br/sancoes/ceis">
        <w:r>
          <w:rPr>
            <w:rStyle w:val="Style"/>
            <w:i w:val="false"/>
            <w:iCs w:val="false"/>
            <w:color w:themeColor="text1" w:val="000000"/>
            <w:sz w:val="18"/>
            <w:szCs w:val="18"/>
            <w:u w:val="single"/>
            <w:lang w:eastAsia="ar-SA"/>
          </w:rPr>
          <w:t>https://www.portaltransparencia.gov.br/sancoes/ceis</w:t>
        </w:r>
      </w:hyperlink>
      <w:r>
        <w:rPr>
          <w:i w:val="false"/>
          <w:iCs w:val="false"/>
          <w:color w:themeColor="text1" w:val="000000"/>
          <w:sz w:val="18"/>
          <w:szCs w:val="18"/>
          <w:lang w:eastAsia="ar-SA"/>
        </w:rPr>
        <w:t xml:space="preserve">); e </w:t>
      </w:r>
    </w:p>
    <w:p>
      <w:pPr>
        <w:pStyle w:val="Nvel2-Red"/>
        <w:numPr>
          <w:ilvl w:val="3"/>
          <w:numId w:val="18"/>
        </w:numPr>
        <w:spacing w:lineRule="auto" w:line="240" w:before="0" w:after="0"/>
        <w:ind w:hanging="0" w:left="1560"/>
        <w:rPr>
          <w:i w:val="false"/>
          <w:color w:themeColor="text1" w:val="000000"/>
          <w:sz w:val="18"/>
          <w:szCs w:val="18"/>
        </w:rPr>
      </w:pPr>
      <w:r>
        <w:rPr>
          <w:i w:val="false"/>
          <w:iCs w:val="false"/>
          <w:color w:themeColor="text1" w:val="000000"/>
          <w:sz w:val="18"/>
          <w:szCs w:val="18"/>
          <w:lang w:eastAsia="ar-SA"/>
        </w:rPr>
        <w:t>Cadastro Nacional de Empresas Punidas – CNEP, mantido pela Controladoria-Geral da União (</w:t>
      </w:r>
      <w:hyperlink r:id="rId18" w:tooltip="https://www.portaltransparencia.gov.br/sancoes/cnep">
        <w:r>
          <w:rPr>
            <w:rStyle w:val="Style"/>
            <w:i w:val="false"/>
            <w:iCs w:val="false"/>
            <w:color w:themeColor="text1" w:val="000000"/>
            <w:sz w:val="18"/>
            <w:szCs w:val="18"/>
            <w:u w:val="single"/>
            <w:lang w:eastAsia="ar-SA"/>
          </w:rPr>
          <w:t>https://www.portaltransparencia.gov.br/sancoes/cnep</w:t>
        </w:r>
      </w:hyperlink>
      <w:r>
        <w:rPr>
          <w:i w:val="false"/>
          <w:iCs w:val="false"/>
          <w:color w:themeColor="text1" w:val="000000"/>
          <w:sz w:val="18"/>
          <w:szCs w:val="18"/>
          <w:lang w:eastAsia="ar-SA"/>
        </w:rPr>
        <w:t>).</w:t>
      </w:r>
    </w:p>
    <w:p>
      <w:pPr>
        <w:pStyle w:val="Nvel2-Red"/>
        <w:numPr>
          <w:ilvl w:val="2"/>
          <w:numId w:val="18"/>
        </w:numPr>
        <w:spacing w:lineRule="auto" w:line="240" w:before="0" w:after="0"/>
        <w:ind w:hanging="432" w:left="1560"/>
        <w:rPr>
          <w:i w:val="false"/>
          <w:color w:themeColor="text1" w:val="000000"/>
          <w:sz w:val="18"/>
          <w:szCs w:val="18"/>
        </w:rPr>
      </w:pPr>
      <w:r>
        <w:rPr>
          <w:i w:val="false"/>
          <w:iCs w:val="false"/>
          <w:color w:themeColor="text1" w:val="000000"/>
          <w:sz w:val="18"/>
          <w:szCs w:val="18"/>
        </w:rPr>
        <w:t xml:space="preserve">A consulta aos cadastros será realizada em nome da empresa licitante e também de seu sócio majoritário, por força da vedação de que trata o </w:t>
      </w:r>
      <w:hyperlink r:id="rId19" w:tooltip="https://www.planalto.gov.br/ccivil_03/leis/l8429.htm#:~:text=%C3%A0s%20seguintes%20comina%C3%A7%C3%B5es%3A-,Art.,n%C2%BA%2012.120%2C%20de%202009).&quot; l &quot;:~:text=%C3%A0s%20seguintes%20comina%C3%A7%C3%B5es%3A-,Art.,n%C2%BA%2012.120%2C%20de%202009).">
        <w:r>
          <w:rPr>
            <w:rStyle w:val="Style"/>
            <w:i w:val="false"/>
            <w:iCs w:val="false"/>
            <w:color w:themeColor="text1" w:val="000000"/>
            <w:sz w:val="18"/>
            <w:szCs w:val="18"/>
            <w:u w:val="single"/>
          </w:rPr>
          <w:t>artigo 12 da Lei n° 8.429, de 1992</w:t>
        </w:r>
      </w:hyperlink>
      <w:r>
        <w:rPr>
          <w:i w:val="false"/>
          <w:iCs w:val="false"/>
          <w:color w:themeColor="text1" w:val="000000"/>
          <w:sz w:val="18"/>
          <w:szCs w:val="18"/>
        </w:rPr>
        <w:t>.</w:t>
      </w:r>
    </w:p>
    <w:p>
      <w:pPr>
        <w:pStyle w:val="Nvel2-Red"/>
        <w:numPr>
          <w:ilvl w:val="2"/>
          <w:numId w:val="18"/>
        </w:numPr>
        <w:spacing w:lineRule="auto" w:line="240" w:before="0" w:after="0"/>
        <w:ind w:hanging="432" w:left="1560"/>
        <w:rPr>
          <w:i w:val="false"/>
          <w:color w:themeColor="text1" w:val="000000"/>
          <w:sz w:val="18"/>
          <w:szCs w:val="18"/>
        </w:rPr>
      </w:pPr>
      <w:r>
        <w:rPr>
          <w:i w:val="false"/>
          <w:iCs w:val="false"/>
          <w:color w:themeColor="text1" w:val="000000"/>
          <w:sz w:val="18"/>
          <w:szCs w:val="18"/>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Nvel2-Red"/>
        <w:numPr>
          <w:ilvl w:val="3"/>
          <w:numId w:val="18"/>
        </w:numPr>
        <w:spacing w:lineRule="auto" w:line="240" w:before="0" w:after="0"/>
        <w:ind w:firstLine="510" w:left="1020"/>
        <w:rPr>
          <w:i w:val="false"/>
          <w:color w:themeColor="text1" w:val="000000"/>
          <w:sz w:val="18"/>
          <w:szCs w:val="18"/>
        </w:rPr>
      </w:pPr>
      <w:r>
        <w:rPr>
          <w:i w:val="false"/>
          <w:iCs w:val="false"/>
          <w:color w:themeColor="text1" w:val="000000"/>
          <w:sz w:val="18"/>
          <w:szCs w:val="18"/>
        </w:rPr>
        <w:t>A tentativa de burla será verificada por meio dos vínculos societários, linhas de fornecimento similares, dentre outros.</w:t>
      </w:r>
    </w:p>
    <w:p>
      <w:pPr>
        <w:pStyle w:val="Nvel2-Red"/>
        <w:numPr>
          <w:ilvl w:val="3"/>
          <w:numId w:val="18"/>
        </w:numPr>
        <w:spacing w:lineRule="auto" w:line="240" w:before="0" w:after="0"/>
        <w:ind w:firstLine="510" w:left="1020"/>
        <w:rPr>
          <w:i w:val="false"/>
          <w:color w:themeColor="text1" w:val="000000"/>
          <w:sz w:val="18"/>
          <w:szCs w:val="18"/>
        </w:rPr>
      </w:pPr>
      <w:r>
        <w:rPr>
          <w:i w:val="false"/>
          <w:iCs w:val="false"/>
          <w:color w:themeColor="text1" w:val="000000"/>
          <w:sz w:val="18"/>
          <w:szCs w:val="18"/>
        </w:rPr>
        <w:t xml:space="preserve">O licitante será convocado para manifestação previamente a uma eventual desclassificação. </w:t>
      </w:r>
    </w:p>
    <w:p>
      <w:pPr>
        <w:pStyle w:val="Nvel2-Red"/>
        <w:numPr>
          <w:ilvl w:val="3"/>
          <w:numId w:val="18"/>
        </w:numPr>
        <w:spacing w:lineRule="auto" w:line="240" w:before="0" w:after="0"/>
        <w:ind w:firstLine="510" w:left="1020"/>
        <w:rPr>
          <w:i w:val="false"/>
          <w:color w:themeColor="text1" w:val="000000"/>
          <w:sz w:val="18"/>
          <w:szCs w:val="18"/>
        </w:rPr>
      </w:pPr>
      <w:r>
        <w:rPr>
          <w:i w:val="false"/>
          <w:iCs w:val="false"/>
          <w:color w:themeColor="text1" w:val="000000"/>
          <w:sz w:val="18"/>
          <w:szCs w:val="18"/>
        </w:rPr>
        <w:t>Constatada a existência de sanção, o licitante será reputado inabilitado, por falta de condição de participação.</w:t>
      </w:r>
    </w:p>
    <w:p>
      <w:pPr>
        <w:pStyle w:val="Nvel2-Red"/>
        <w:numPr>
          <w:ilvl w:val="3"/>
          <w:numId w:val="18"/>
        </w:numPr>
        <w:tabs>
          <w:tab w:val="clear" w:pos="708"/>
          <w:tab w:val="left" w:pos="1479" w:leader="none"/>
        </w:tabs>
        <w:spacing w:lineRule="auto" w:line="240" w:before="0" w:after="0"/>
        <w:ind w:firstLine="510" w:left="1020"/>
        <w:rPr>
          <w:b/>
          <w:i w:val="false"/>
          <w:color w:themeColor="text1" w:val="000000"/>
          <w:sz w:val="18"/>
          <w:szCs w:val="18"/>
        </w:rPr>
      </w:pPr>
      <w:bookmarkStart w:id="29" w:name="_Hlk135317550"/>
      <w:r>
        <w:rPr>
          <w:i w:val="false"/>
          <w:iCs w:val="false"/>
          <w:color w:themeColor="text1" w:val="000000"/>
          <w:sz w:val="18"/>
          <w:szCs w:val="18"/>
        </w:rPr>
        <w:t>Na hipótese de inversão das fases de habilitação e julgamento, caso atendidas as condições de participação, será iniciado o procedimento de habilitação.</w:t>
      </w:r>
      <w:bookmarkEnd w:id="29"/>
    </w:p>
    <w:p>
      <w:pPr>
        <w:pStyle w:val="Nvel2-Red"/>
        <w:numPr>
          <w:ilvl w:val="2"/>
          <w:numId w:val="18"/>
        </w:numPr>
        <w:spacing w:lineRule="auto" w:line="240" w:before="0" w:after="0"/>
        <w:ind w:hanging="432" w:left="1418"/>
        <w:rPr>
          <w:i w:val="false"/>
          <w:color w:themeColor="text1" w:val="000000"/>
          <w:sz w:val="18"/>
          <w:szCs w:val="18"/>
        </w:rPr>
      </w:pPr>
      <w:r>
        <w:rPr>
          <w:i w:val="false"/>
          <w:iCs w:val="false"/>
          <w:color w:themeColor="text1" w:val="000000"/>
          <w:sz w:val="18"/>
          <w:szCs w:val="18"/>
        </w:rPr>
        <w:t>Caso o licitante provisoriamente classificado em primeiro lugar tenha se utilizado de algum tratamento favorecido às ME/EPPs, o pregoeiro verificará se faz jus ao tratamento favorecido previsto na Lei Complementar nº 123/2006 e neste Edital.</w:t>
      </w:r>
    </w:p>
    <w:p>
      <w:pPr>
        <w:pStyle w:val="Nvel2-Red"/>
        <w:numPr>
          <w:ilvl w:val="2"/>
          <w:numId w:val="18"/>
        </w:numPr>
        <w:spacing w:lineRule="auto" w:line="240" w:before="0" w:after="0"/>
        <w:ind w:hanging="432" w:left="1418"/>
        <w:rPr>
          <w:i w:val="false"/>
          <w:color w:themeColor="text1" w:val="000000"/>
          <w:sz w:val="18"/>
          <w:szCs w:val="18"/>
        </w:rPr>
      </w:pPr>
      <w:r>
        <w:rPr>
          <w:i w:val="false"/>
          <w:iCs w:val="false"/>
          <w:color w:themeColor="text1" w:val="000000"/>
          <w:sz w:val="18"/>
          <w:szCs w:val="18"/>
        </w:rPr>
        <w:t>Verificadas as condições de participação e de utilização do tratamento favorecido, o pregoeiro examinará a proposta classificada em primeiro lugar quanto à adequação ao bem como à compatibilidade da proposta com as exigências operacionais previstas no Termo de Referência..</w:t>
      </w:r>
    </w:p>
    <w:p>
      <w:pPr>
        <w:pStyle w:val="Nvel2-Red"/>
        <w:numPr>
          <w:ilvl w:val="1"/>
          <w:numId w:val="18"/>
        </w:numPr>
        <w:spacing w:lineRule="auto" w:line="240" w:before="0" w:after="0"/>
        <w:ind w:hanging="405" w:left="993"/>
        <w:rPr>
          <w:i w:val="false"/>
          <w:color w:themeColor="text1" w:val="000000"/>
          <w:sz w:val="18"/>
          <w:szCs w:val="18"/>
        </w:rPr>
      </w:pPr>
      <w:r>
        <w:rPr>
          <w:i w:val="false"/>
          <w:iCs w:val="false"/>
          <w:color w:themeColor="text1" w:val="000000"/>
          <w:sz w:val="18"/>
          <w:szCs w:val="18"/>
        </w:rPr>
        <w:t xml:space="preserve">Será desclassificada a proposta vencedora que: </w:t>
      </w:r>
    </w:p>
    <w:p>
      <w:pPr>
        <w:pStyle w:val="Nvel2-Red"/>
        <w:numPr>
          <w:ilvl w:val="2"/>
          <w:numId w:val="18"/>
        </w:numPr>
        <w:spacing w:lineRule="auto" w:line="240" w:before="0" w:after="0"/>
        <w:ind w:hanging="432" w:left="1418"/>
        <w:rPr>
          <w:i w:val="false"/>
          <w:color w:themeColor="text1" w:val="000000"/>
          <w:sz w:val="18"/>
          <w:szCs w:val="18"/>
        </w:rPr>
      </w:pPr>
      <w:r>
        <w:rPr>
          <w:i w:val="false"/>
          <w:iCs w:val="false"/>
          <w:color w:themeColor="text1" w:val="000000"/>
          <w:sz w:val="18"/>
          <w:szCs w:val="18"/>
        </w:rPr>
        <w:t>Contiver vícios insanáveis;</w:t>
      </w:r>
    </w:p>
    <w:p>
      <w:pPr>
        <w:pStyle w:val="Nvel2-Red"/>
        <w:numPr>
          <w:ilvl w:val="2"/>
          <w:numId w:val="18"/>
        </w:numPr>
        <w:spacing w:lineRule="auto" w:line="240" w:before="0" w:after="0"/>
        <w:ind w:hanging="432" w:left="1418"/>
        <w:rPr>
          <w:i w:val="false"/>
          <w:color w:themeColor="text1" w:val="000000"/>
          <w:sz w:val="18"/>
          <w:szCs w:val="18"/>
        </w:rPr>
      </w:pPr>
      <w:r>
        <w:rPr>
          <w:i w:val="false"/>
          <w:iCs w:val="false"/>
          <w:color w:themeColor="text1" w:val="000000"/>
          <w:sz w:val="18"/>
          <w:szCs w:val="18"/>
        </w:rPr>
        <w:t>Não obedecer às especificações técnicas, operacionais e demais requisitos constantes do Termo de Referência;</w:t>
      </w:r>
    </w:p>
    <w:p>
      <w:pPr>
        <w:pStyle w:val="Nvel2-Red"/>
        <w:numPr>
          <w:ilvl w:val="2"/>
          <w:numId w:val="18"/>
        </w:numPr>
        <w:spacing w:lineRule="auto" w:line="240" w:before="0" w:after="0"/>
        <w:ind w:hanging="432" w:left="1418"/>
        <w:rPr>
          <w:i w:val="false"/>
          <w:color w:themeColor="text1" w:val="000000"/>
          <w:sz w:val="18"/>
          <w:szCs w:val="18"/>
        </w:rPr>
      </w:pPr>
      <w:r>
        <w:rPr>
          <w:i w:val="false"/>
          <w:iCs w:val="false"/>
          <w:color w:themeColor="text1" w:val="000000"/>
          <w:sz w:val="18"/>
          <w:szCs w:val="18"/>
        </w:rPr>
        <w:t>Apresentar preços inexequíveis ou permanecerem acima do preço máximo definido para a contratação;</w:t>
      </w:r>
    </w:p>
    <w:p>
      <w:pPr>
        <w:pStyle w:val="Nvel2-Red"/>
        <w:numPr>
          <w:ilvl w:val="2"/>
          <w:numId w:val="18"/>
        </w:numPr>
        <w:spacing w:lineRule="auto" w:line="240" w:before="0" w:after="0"/>
        <w:ind w:hanging="432" w:left="1418"/>
        <w:rPr>
          <w:i w:val="false"/>
          <w:color w:themeColor="text1" w:val="000000"/>
          <w:sz w:val="18"/>
          <w:szCs w:val="18"/>
        </w:rPr>
      </w:pPr>
      <w:r>
        <w:rPr>
          <w:i w:val="false"/>
          <w:iCs w:val="false"/>
          <w:color w:themeColor="text1" w:val="000000"/>
          <w:sz w:val="18"/>
          <w:szCs w:val="18"/>
        </w:rPr>
        <w:t>Não tiverem sua exequibilidade demonstrada, quando exigido pela Administração;</w:t>
      </w:r>
    </w:p>
    <w:p>
      <w:pPr>
        <w:pStyle w:val="Nvel2-Red"/>
        <w:numPr>
          <w:ilvl w:val="2"/>
          <w:numId w:val="18"/>
        </w:numPr>
        <w:spacing w:lineRule="auto" w:line="240" w:before="0" w:after="0"/>
        <w:ind w:hanging="432" w:left="1418"/>
        <w:rPr>
          <w:i w:val="false"/>
          <w:color w:themeColor="text1" w:val="000000"/>
          <w:sz w:val="18"/>
          <w:szCs w:val="18"/>
        </w:rPr>
      </w:pPr>
      <w:r>
        <w:rPr>
          <w:i w:val="false"/>
          <w:iCs w:val="false"/>
          <w:color w:themeColor="text1" w:val="000000"/>
          <w:sz w:val="18"/>
          <w:szCs w:val="18"/>
        </w:rPr>
        <w:t>Apresentar desconformidade com quaisquer outras exigências deste Edital ou seus anexos, desde que insanável.</w:t>
      </w:r>
    </w:p>
    <w:p>
      <w:pPr>
        <w:pStyle w:val="Nvel2-Red"/>
        <w:numPr>
          <w:ilvl w:val="2"/>
          <w:numId w:val="18"/>
        </w:numPr>
        <w:spacing w:lineRule="auto" w:line="240" w:before="0" w:after="0"/>
        <w:ind w:hanging="432" w:left="1418"/>
        <w:rPr>
          <w:i w:val="false"/>
          <w:color w:themeColor="text1" w:val="000000"/>
          <w:sz w:val="18"/>
          <w:szCs w:val="18"/>
        </w:rPr>
      </w:pPr>
      <w:r>
        <w:rPr>
          <w:i w:val="false"/>
          <w:iCs w:val="false"/>
          <w:color w:themeColor="text1" w:val="000000"/>
          <w:sz w:val="18"/>
          <w:szCs w:val="18"/>
        </w:rPr>
        <w:t xml:space="preserve"> </w:t>
      </w:r>
      <w:r>
        <w:rPr>
          <w:i w:val="false"/>
          <w:iCs w:val="false"/>
          <w:color w:themeColor="text1" w:val="000000"/>
          <w:sz w:val="18"/>
          <w:szCs w:val="18"/>
        </w:rPr>
        <w:t>Não atender às diligências promovidas pela Administração no prazo fixado, quando indispensáveis à análise da aceitabilidade da proposta.</w:t>
      </w:r>
    </w:p>
    <w:p>
      <w:pPr>
        <w:pStyle w:val="Nvel2-Red"/>
        <w:numPr>
          <w:ilvl w:val="2"/>
          <w:numId w:val="18"/>
        </w:numPr>
        <w:spacing w:lineRule="auto" w:line="240" w:before="0" w:after="0"/>
        <w:ind w:hanging="432" w:left="1418"/>
        <w:rPr>
          <w:i w:val="false"/>
          <w:color w:themeColor="text1" w:val="000000"/>
          <w:sz w:val="18"/>
          <w:szCs w:val="18"/>
        </w:rPr>
      </w:pPr>
      <w:r>
        <w:rPr>
          <w:i w:val="false"/>
          <w:iCs w:val="false"/>
          <w:color w:themeColor="text1" w:val="000000"/>
          <w:sz w:val="18"/>
          <w:szCs w:val="18"/>
        </w:rPr>
        <w:t xml:space="preserve"> </w:t>
      </w:r>
      <w:r>
        <w:rPr>
          <w:i w:val="false"/>
          <w:iCs w:val="false"/>
          <w:color w:themeColor="text1" w:val="000000"/>
          <w:sz w:val="18"/>
          <w:szCs w:val="18"/>
        </w:rPr>
        <w:t>Não comprovar a exequibilidade da proposta, quando solicitado pelo Agente de Contratação.</w:t>
      </w:r>
    </w:p>
    <w:p>
      <w:pPr>
        <w:pStyle w:val="Nvel2-Red"/>
        <w:numPr>
          <w:ilvl w:val="2"/>
          <w:numId w:val="18"/>
        </w:numPr>
        <w:spacing w:lineRule="auto" w:line="240" w:before="0" w:after="0"/>
        <w:ind w:hanging="432" w:left="1418"/>
        <w:rPr>
          <w:i w:val="false"/>
          <w:color w:themeColor="text1" w:val="000000"/>
          <w:sz w:val="18"/>
          <w:szCs w:val="18"/>
        </w:rPr>
      </w:pPr>
      <w:r>
        <w:rPr>
          <w:i w:val="false"/>
          <w:iCs w:val="false"/>
          <w:color w:themeColor="text1" w:val="000000"/>
          <w:sz w:val="18"/>
          <w:szCs w:val="18"/>
        </w:rPr>
        <w:t>A inexequibilidade da proposta será analisada caso a caso, considerando as características do objeto, os preços estimados pela Administração, os custos inerentes à execução contratual, as informações constantes da proposta e demais elementos constantes do processo administrativo.</w:t>
      </w:r>
    </w:p>
    <w:p>
      <w:pPr>
        <w:pStyle w:val="Nvel2-Red"/>
        <w:numPr>
          <w:ilvl w:val="2"/>
          <w:numId w:val="18"/>
        </w:numPr>
        <w:spacing w:lineRule="auto" w:line="240" w:before="0" w:after="0"/>
        <w:ind w:hanging="432" w:left="1418"/>
        <w:rPr>
          <w:i w:val="false"/>
          <w:color w:themeColor="text1" w:val="000000"/>
          <w:sz w:val="18"/>
          <w:szCs w:val="18"/>
        </w:rPr>
      </w:pPr>
      <w:r>
        <w:rPr>
          <w:i w:val="false"/>
          <w:iCs w:val="false"/>
          <w:color w:themeColor="text1" w:val="000000"/>
          <w:sz w:val="18"/>
          <w:szCs w:val="18"/>
        </w:rPr>
        <w:t>A inexequibilidade, na hipótese de que trata o caput, só será considerada após diligência do pregoeiro, que comprove:</w:t>
      </w:r>
    </w:p>
    <w:p>
      <w:pPr>
        <w:pStyle w:val="Nvel2-Red"/>
        <w:numPr>
          <w:ilvl w:val="3"/>
          <w:numId w:val="18"/>
        </w:numPr>
        <w:spacing w:lineRule="auto" w:line="240" w:before="0" w:after="0"/>
        <w:ind w:hanging="57" w:left="1531"/>
        <w:rPr>
          <w:i w:val="false"/>
          <w:color w:themeColor="text1" w:val="000000"/>
          <w:sz w:val="18"/>
          <w:szCs w:val="18"/>
        </w:rPr>
      </w:pPr>
      <w:r>
        <w:rPr>
          <w:i w:val="false"/>
          <w:iCs w:val="false"/>
          <w:color w:themeColor="text1" w:val="000000"/>
          <w:sz w:val="18"/>
          <w:szCs w:val="18"/>
        </w:rPr>
        <w:t>Que o custo do licitante ultrapassa o valor da proposta; e</w:t>
      </w:r>
    </w:p>
    <w:p>
      <w:pPr>
        <w:pStyle w:val="Nvel2-Red"/>
        <w:numPr>
          <w:ilvl w:val="3"/>
          <w:numId w:val="18"/>
        </w:numPr>
        <w:spacing w:lineRule="auto" w:line="240" w:before="0" w:after="0"/>
        <w:ind w:hanging="0" w:left="1474"/>
        <w:rPr>
          <w:i w:val="false"/>
          <w:color w:themeColor="text1" w:val="000000"/>
          <w:sz w:val="18"/>
          <w:szCs w:val="18"/>
        </w:rPr>
      </w:pPr>
      <w:r>
        <w:rPr>
          <w:i w:val="false"/>
          <w:iCs w:val="false"/>
          <w:color w:themeColor="text1" w:val="000000"/>
          <w:sz w:val="18"/>
          <w:szCs w:val="18"/>
        </w:rPr>
        <w:t>Inexistirem custos de oportunidade capazes de justificar o vulto da oferta.</w:t>
      </w:r>
    </w:p>
    <w:p>
      <w:pPr>
        <w:pStyle w:val="Nvel2-Red"/>
        <w:numPr>
          <w:ilvl w:val="0"/>
          <w:numId w:val="0"/>
        </w:numPr>
        <w:spacing w:lineRule="auto" w:line="240" w:before="0" w:after="0"/>
        <w:ind w:hanging="0" w:left="993"/>
        <w:rPr>
          <w:i w:val="false"/>
          <w:color w:themeColor="text1" w:val="000000"/>
          <w:sz w:val="18"/>
          <w:szCs w:val="18"/>
        </w:rPr>
      </w:pPr>
      <w:r>
        <w:rPr>
          <w:i w:val="false"/>
          <w:color w:themeColor="text1" w:val="000000"/>
          <w:sz w:val="18"/>
          <w:szCs w:val="18"/>
        </w:rPr>
        <w:t>7.2.10 Ser</w:t>
      </w:r>
      <w:r>
        <w:rPr>
          <w:rFonts w:hint="eastAsia"/>
          <w:i w:val="false"/>
          <w:color w:themeColor="text1" w:val="000000"/>
          <w:sz w:val="18"/>
          <w:szCs w:val="18"/>
        </w:rPr>
        <w:t>á</w:t>
      </w:r>
      <w:r>
        <w:rPr>
          <w:i w:val="false"/>
          <w:color w:themeColor="text1" w:val="000000"/>
          <w:sz w:val="18"/>
          <w:szCs w:val="18"/>
        </w:rPr>
        <w:t xml:space="preserve"> igualmente desclassificada a proposta que, ap</w:t>
      </w:r>
      <w:r>
        <w:rPr>
          <w:rFonts w:hint="eastAsia"/>
          <w:i w:val="false"/>
          <w:color w:themeColor="text1" w:val="000000"/>
          <w:sz w:val="18"/>
          <w:szCs w:val="18"/>
        </w:rPr>
        <w:t>ó</w:t>
      </w:r>
      <w:r>
        <w:rPr>
          <w:i w:val="false"/>
          <w:color w:themeColor="text1" w:val="000000"/>
          <w:sz w:val="18"/>
          <w:szCs w:val="18"/>
        </w:rPr>
        <w:t>s dilig</w:t>
      </w:r>
      <w:r>
        <w:rPr>
          <w:rFonts w:hint="eastAsia"/>
          <w:i w:val="false"/>
          <w:color w:themeColor="text1" w:val="000000"/>
          <w:sz w:val="18"/>
          <w:szCs w:val="18"/>
        </w:rPr>
        <w:t>ê</w:t>
      </w:r>
      <w:r>
        <w:rPr>
          <w:i w:val="false"/>
          <w:color w:themeColor="text1" w:val="000000"/>
          <w:sz w:val="18"/>
          <w:szCs w:val="18"/>
        </w:rPr>
        <w:t>ncia, demonstre incompatibilidade entre os custos apresentados e as condi</w:t>
      </w:r>
      <w:r>
        <w:rPr>
          <w:rFonts w:hint="eastAsia"/>
          <w:i w:val="false"/>
          <w:color w:themeColor="text1" w:val="000000"/>
          <w:sz w:val="18"/>
          <w:szCs w:val="18"/>
        </w:rPr>
        <w:t>çõ</w:t>
      </w:r>
      <w:r>
        <w:rPr>
          <w:i w:val="false"/>
          <w:color w:themeColor="text1" w:val="000000"/>
          <w:sz w:val="18"/>
          <w:szCs w:val="18"/>
        </w:rPr>
        <w:t>es efetivas de execu</w:t>
      </w:r>
      <w:r>
        <w:rPr>
          <w:rFonts w:hint="eastAsia"/>
          <w:i w:val="false"/>
          <w:color w:themeColor="text1" w:val="000000"/>
          <w:sz w:val="18"/>
          <w:szCs w:val="18"/>
        </w:rPr>
        <w:t>çã</w:t>
      </w:r>
      <w:r>
        <w:rPr>
          <w:i w:val="false"/>
          <w:color w:themeColor="text1" w:val="000000"/>
          <w:sz w:val="18"/>
          <w:szCs w:val="18"/>
        </w:rPr>
        <w:t>o do objeto, especialmente quanto aos custos de combust</w:t>
      </w:r>
      <w:r>
        <w:rPr>
          <w:rFonts w:hint="eastAsia"/>
          <w:i w:val="false"/>
          <w:color w:themeColor="text1" w:val="000000"/>
          <w:sz w:val="18"/>
          <w:szCs w:val="18"/>
        </w:rPr>
        <w:t>í</w:t>
      </w:r>
      <w:r>
        <w:rPr>
          <w:i w:val="false"/>
          <w:color w:themeColor="text1" w:val="000000"/>
          <w:sz w:val="18"/>
          <w:szCs w:val="18"/>
        </w:rPr>
        <w:t>vel, m</w:t>
      </w:r>
      <w:r>
        <w:rPr>
          <w:rFonts w:hint="eastAsia"/>
          <w:i w:val="false"/>
          <w:color w:themeColor="text1" w:val="000000"/>
          <w:sz w:val="18"/>
          <w:szCs w:val="18"/>
        </w:rPr>
        <w:t>ã</w:t>
      </w:r>
      <w:r>
        <w:rPr>
          <w:i w:val="false"/>
          <w:color w:themeColor="text1" w:val="000000"/>
          <w:sz w:val="18"/>
          <w:szCs w:val="18"/>
        </w:rPr>
        <w:t>o de obra, manuten</w:t>
      </w:r>
      <w:r>
        <w:rPr>
          <w:rFonts w:hint="eastAsia"/>
          <w:i w:val="false"/>
          <w:color w:themeColor="text1" w:val="000000"/>
          <w:sz w:val="18"/>
          <w:szCs w:val="18"/>
        </w:rPr>
        <w:t>çã</w:t>
      </w:r>
      <w:r>
        <w:rPr>
          <w:i w:val="false"/>
          <w:color w:themeColor="text1" w:val="000000"/>
          <w:sz w:val="18"/>
          <w:szCs w:val="18"/>
        </w:rPr>
        <w:t>o da frota, seguros, vistorias, tributos, monitor escolar quando exigido, ve</w:t>
      </w:r>
      <w:r>
        <w:rPr>
          <w:rFonts w:hint="eastAsia"/>
          <w:i w:val="false"/>
          <w:color w:themeColor="text1" w:val="000000"/>
          <w:sz w:val="18"/>
          <w:szCs w:val="18"/>
        </w:rPr>
        <w:t>í</w:t>
      </w:r>
      <w:r>
        <w:rPr>
          <w:i w:val="false"/>
          <w:color w:themeColor="text1" w:val="000000"/>
          <w:sz w:val="18"/>
          <w:szCs w:val="18"/>
        </w:rPr>
        <w:t>culo reserva e demais encargos indispens</w:t>
      </w:r>
      <w:r>
        <w:rPr>
          <w:rFonts w:hint="eastAsia"/>
          <w:i w:val="false"/>
          <w:color w:themeColor="text1" w:val="000000"/>
          <w:sz w:val="18"/>
          <w:szCs w:val="18"/>
        </w:rPr>
        <w:t>á</w:t>
      </w:r>
      <w:r>
        <w:rPr>
          <w:i w:val="false"/>
          <w:color w:themeColor="text1" w:val="000000"/>
          <w:sz w:val="18"/>
          <w:szCs w:val="18"/>
        </w:rPr>
        <w:t xml:space="preserve">veis </w:t>
      </w:r>
      <w:r>
        <w:rPr>
          <w:rFonts w:hint="eastAsia"/>
          <w:i w:val="false"/>
          <w:color w:themeColor="text1" w:val="000000"/>
          <w:sz w:val="18"/>
          <w:szCs w:val="18"/>
        </w:rPr>
        <w:t>à</w:t>
      </w:r>
      <w:r>
        <w:rPr>
          <w:i w:val="false"/>
          <w:color w:themeColor="text1" w:val="000000"/>
          <w:sz w:val="18"/>
          <w:szCs w:val="18"/>
        </w:rPr>
        <w:t xml:space="preserve"> execu</w:t>
      </w:r>
      <w:r>
        <w:rPr>
          <w:rFonts w:hint="eastAsia"/>
          <w:i w:val="false"/>
          <w:color w:themeColor="text1" w:val="000000"/>
          <w:sz w:val="18"/>
          <w:szCs w:val="18"/>
        </w:rPr>
        <w:t>çã</w:t>
      </w:r>
      <w:r>
        <w:rPr>
          <w:i w:val="false"/>
          <w:color w:themeColor="text1" w:val="000000"/>
          <w:sz w:val="18"/>
          <w:szCs w:val="18"/>
        </w:rPr>
        <w:t>o contratual.</w:t>
      </w:r>
    </w:p>
    <w:p>
      <w:pPr>
        <w:pStyle w:val="Nvel2-Red"/>
        <w:numPr>
          <w:ilvl w:val="1"/>
          <w:numId w:val="18"/>
        </w:numPr>
        <w:spacing w:lineRule="auto" w:line="240" w:before="0" w:after="0"/>
        <w:ind w:hanging="405" w:left="993"/>
        <w:rPr>
          <w:i w:val="false"/>
          <w:color w:themeColor="text1" w:val="000000"/>
          <w:sz w:val="18"/>
          <w:szCs w:val="18"/>
        </w:rPr>
      </w:pPr>
      <w:r>
        <w:rPr>
          <w:i w:val="false"/>
          <w:iCs w:val="false"/>
          <w:color w:themeColor="text1" w:val="000000"/>
          <w:sz w:val="18"/>
          <w:szCs w:val="18"/>
        </w:rPr>
        <w:t>Quando houver indícios de inexequibilidade, o Agente de Contratação promoverá diligência destinada a verificar a viabilidade da execução contratual, podendo solicitar os documentos que entender necessários.</w:t>
      </w:r>
    </w:p>
    <w:p>
      <w:pPr>
        <w:pStyle w:val="Nvel2-Red"/>
        <w:numPr>
          <w:ilvl w:val="2"/>
          <w:numId w:val="18"/>
        </w:numPr>
        <w:spacing w:lineRule="auto" w:line="240" w:before="0" w:after="0"/>
        <w:ind w:hanging="720" w:left="1843"/>
        <w:rPr>
          <w:i w:val="false"/>
          <w:color w:themeColor="text1" w:val="000000"/>
          <w:sz w:val="18"/>
          <w:szCs w:val="18"/>
        </w:rPr>
      </w:pPr>
      <w:r>
        <w:rPr>
          <w:i w:val="false"/>
          <w:color w:themeColor="text1" w:val="000000"/>
          <w:sz w:val="18"/>
          <w:szCs w:val="18"/>
        </w:rPr>
        <w:t>A Administra</w:t>
      </w:r>
      <w:r>
        <w:rPr>
          <w:rFonts w:hint="eastAsia"/>
          <w:i w:val="false"/>
          <w:color w:themeColor="text1" w:val="000000"/>
          <w:sz w:val="18"/>
          <w:szCs w:val="18"/>
        </w:rPr>
        <w:t>çã</w:t>
      </w:r>
      <w:r>
        <w:rPr>
          <w:i w:val="false"/>
          <w:color w:themeColor="text1" w:val="000000"/>
          <w:sz w:val="18"/>
          <w:szCs w:val="18"/>
        </w:rPr>
        <w:t>o poder</w:t>
      </w:r>
      <w:r>
        <w:rPr>
          <w:rFonts w:hint="eastAsia"/>
          <w:i w:val="false"/>
          <w:color w:themeColor="text1" w:val="000000"/>
          <w:sz w:val="18"/>
          <w:szCs w:val="18"/>
        </w:rPr>
        <w:t>á</w:t>
      </w:r>
      <w:r>
        <w:rPr>
          <w:i w:val="false"/>
          <w:color w:themeColor="text1" w:val="000000"/>
          <w:sz w:val="18"/>
          <w:szCs w:val="18"/>
        </w:rPr>
        <w:t xml:space="preserve"> utilizar como par</w:t>
      </w:r>
      <w:r>
        <w:rPr>
          <w:rFonts w:hint="eastAsia"/>
          <w:i w:val="false"/>
          <w:color w:themeColor="text1" w:val="000000"/>
          <w:sz w:val="18"/>
          <w:szCs w:val="18"/>
        </w:rPr>
        <w:t>â</w:t>
      </w:r>
      <w:r>
        <w:rPr>
          <w:i w:val="false"/>
          <w:color w:themeColor="text1" w:val="000000"/>
          <w:sz w:val="18"/>
          <w:szCs w:val="18"/>
        </w:rPr>
        <w:t>metros para an</w:t>
      </w:r>
      <w:r>
        <w:rPr>
          <w:rFonts w:hint="eastAsia"/>
          <w:i w:val="false"/>
          <w:color w:themeColor="text1" w:val="000000"/>
          <w:sz w:val="18"/>
          <w:szCs w:val="18"/>
        </w:rPr>
        <w:t>á</w:t>
      </w:r>
      <w:r>
        <w:rPr>
          <w:i w:val="false"/>
          <w:color w:themeColor="text1" w:val="000000"/>
          <w:sz w:val="18"/>
          <w:szCs w:val="18"/>
        </w:rPr>
        <w:t>lise da exequibilidade os estudos t</w:t>
      </w:r>
      <w:r>
        <w:rPr>
          <w:rFonts w:hint="eastAsia"/>
          <w:i w:val="false"/>
          <w:color w:themeColor="text1" w:val="000000"/>
          <w:sz w:val="18"/>
          <w:szCs w:val="18"/>
        </w:rPr>
        <w:t>é</w:t>
      </w:r>
      <w:r>
        <w:rPr>
          <w:i w:val="false"/>
          <w:color w:themeColor="text1" w:val="000000"/>
          <w:sz w:val="18"/>
          <w:szCs w:val="18"/>
        </w:rPr>
        <w:t>cnicos constantes do processo administrativo, a pesquisa de pre</w:t>
      </w:r>
      <w:r>
        <w:rPr>
          <w:rFonts w:hint="eastAsia"/>
          <w:i w:val="false"/>
          <w:color w:themeColor="text1" w:val="000000"/>
          <w:sz w:val="18"/>
          <w:szCs w:val="18"/>
        </w:rPr>
        <w:t>ç</w:t>
      </w:r>
      <w:r>
        <w:rPr>
          <w:i w:val="false"/>
          <w:color w:themeColor="text1" w:val="000000"/>
          <w:sz w:val="18"/>
          <w:szCs w:val="18"/>
        </w:rPr>
        <w:t>os, o Estudo T</w:t>
      </w:r>
      <w:r>
        <w:rPr>
          <w:rFonts w:hint="eastAsia"/>
          <w:i w:val="false"/>
          <w:color w:themeColor="text1" w:val="000000"/>
          <w:sz w:val="18"/>
          <w:szCs w:val="18"/>
        </w:rPr>
        <w:t>é</w:t>
      </w:r>
      <w:r>
        <w:rPr>
          <w:i w:val="false"/>
          <w:color w:themeColor="text1" w:val="000000"/>
          <w:sz w:val="18"/>
          <w:szCs w:val="18"/>
        </w:rPr>
        <w:t>cnico Preliminar, o Termo de Refer</w:t>
      </w:r>
      <w:r>
        <w:rPr>
          <w:rFonts w:hint="eastAsia"/>
          <w:i w:val="false"/>
          <w:color w:themeColor="text1" w:val="000000"/>
          <w:sz w:val="18"/>
          <w:szCs w:val="18"/>
        </w:rPr>
        <w:t>ê</w:t>
      </w:r>
      <w:r>
        <w:rPr>
          <w:i w:val="false"/>
          <w:color w:themeColor="text1" w:val="000000"/>
          <w:sz w:val="18"/>
          <w:szCs w:val="18"/>
        </w:rPr>
        <w:t>ncia e demais elementos que comp</w:t>
      </w:r>
      <w:r>
        <w:rPr>
          <w:rFonts w:hint="eastAsia"/>
          <w:i w:val="false"/>
          <w:color w:themeColor="text1" w:val="000000"/>
          <w:sz w:val="18"/>
          <w:szCs w:val="18"/>
        </w:rPr>
        <w:t>õ</w:t>
      </w:r>
      <w:r>
        <w:rPr>
          <w:i w:val="false"/>
          <w:color w:themeColor="text1" w:val="000000"/>
          <w:sz w:val="18"/>
          <w:szCs w:val="18"/>
        </w:rPr>
        <w:t>em a fase preparat</w:t>
      </w:r>
      <w:r>
        <w:rPr>
          <w:rFonts w:hint="eastAsia"/>
          <w:i w:val="false"/>
          <w:color w:themeColor="text1" w:val="000000"/>
          <w:sz w:val="18"/>
          <w:szCs w:val="18"/>
        </w:rPr>
        <w:t>ó</w:t>
      </w:r>
      <w:r>
        <w:rPr>
          <w:i w:val="false"/>
          <w:color w:themeColor="text1" w:val="000000"/>
          <w:sz w:val="18"/>
          <w:szCs w:val="18"/>
        </w:rPr>
        <w:t>ria da contrata</w:t>
      </w:r>
      <w:r>
        <w:rPr>
          <w:rFonts w:hint="eastAsia"/>
          <w:i w:val="false"/>
          <w:color w:themeColor="text1" w:val="000000"/>
          <w:sz w:val="18"/>
          <w:szCs w:val="18"/>
        </w:rPr>
        <w:t>çã</w:t>
      </w:r>
      <w:r>
        <w:rPr>
          <w:i w:val="false"/>
          <w:color w:themeColor="text1" w:val="000000"/>
          <w:sz w:val="18"/>
          <w:szCs w:val="18"/>
        </w:rPr>
        <w:t>o.</w:t>
      </w:r>
    </w:p>
    <w:p>
      <w:pPr>
        <w:pStyle w:val="Nvel2-Red"/>
        <w:numPr>
          <w:ilvl w:val="1"/>
          <w:numId w:val="18"/>
        </w:numPr>
        <w:spacing w:lineRule="auto" w:line="240" w:before="0" w:after="0"/>
        <w:ind w:hanging="405" w:left="993"/>
        <w:rPr>
          <w:i w:val="false"/>
          <w:iCs w:val="false"/>
          <w:color w:themeColor="text1" w:val="000000"/>
          <w:sz w:val="18"/>
          <w:szCs w:val="18"/>
        </w:rPr>
      </w:pPr>
      <w:r>
        <w:rPr>
          <w:rFonts w:eastAsia="Times New Roman"/>
          <w:i w:val="false"/>
          <w:iCs w:val="false"/>
          <w:color w:themeColor="text1" w:val="000000"/>
          <w:sz w:val="18"/>
          <w:szCs w:val="18"/>
        </w:rPr>
        <w:t>Sempre que houver indícios de inexequibilidade da proposta ou necessidade de esclarecimentos complementares, a Administração poderá promover diligências para verificar sua aceitabilidade, podendo solicitar, dentre outros documentos:</w:t>
      </w:r>
    </w:p>
    <w:p>
      <w:pPr>
        <w:pStyle w:val="ListParagraph"/>
        <w:suppressAutoHyphens w:val="false"/>
        <w:spacing w:beforeAutospacing="1" w:afterAutospacing="1"/>
        <w:ind w:left="1560"/>
        <w:contextualSpacing/>
        <w:rPr>
          <w:rFonts w:ascii="Arial" w:hAnsi="Arial" w:eastAsia="Times New Roman" w:cs="Arial"/>
          <w:sz w:val="18"/>
          <w:szCs w:val="18"/>
        </w:rPr>
      </w:pPr>
      <w:r>
        <w:rPr>
          <w:rFonts w:eastAsia="Times New Roman" w:cs="Arial" w:ascii="Arial" w:hAnsi="Arial"/>
          <w:sz w:val="18"/>
          <w:szCs w:val="18"/>
        </w:rPr>
        <w:t>I – planilha analítica de composição dos custos;</w:t>
      </w:r>
    </w:p>
    <w:p>
      <w:pPr>
        <w:pStyle w:val="ListParagraph"/>
        <w:suppressAutoHyphens w:val="false"/>
        <w:spacing w:beforeAutospacing="1" w:afterAutospacing="1"/>
        <w:ind w:left="1560"/>
        <w:contextualSpacing/>
        <w:rPr>
          <w:rFonts w:ascii="Arial" w:hAnsi="Arial" w:eastAsia="Times New Roman" w:cs="Arial"/>
          <w:sz w:val="18"/>
          <w:szCs w:val="18"/>
        </w:rPr>
      </w:pPr>
      <w:r>
        <w:rPr>
          <w:rFonts w:eastAsia="Times New Roman" w:cs="Arial" w:ascii="Arial" w:hAnsi="Arial"/>
          <w:sz w:val="18"/>
          <w:szCs w:val="18"/>
        </w:rPr>
        <w:t>II – memória de cálculo;</w:t>
      </w:r>
    </w:p>
    <w:p>
      <w:pPr>
        <w:pStyle w:val="ListParagraph"/>
        <w:suppressAutoHyphens w:val="false"/>
        <w:spacing w:beforeAutospacing="1" w:afterAutospacing="1"/>
        <w:ind w:left="1560"/>
        <w:contextualSpacing/>
        <w:rPr>
          <w:rFonts w:ascii="Arial" w:hAnsi="Arial" w:eastAsia="Times New Roman" w:cs="Arial"/>
          <w:sz w:val="18"/>
          <w:szCs w:val="18"/>
        </w:rPr>
      </w:pPr>
      <w:r>
        <w:rPr>
          <w:rFonts w:eastAsia="Times New Roman" w:cs="Arial" w:ascii="Arial" w:hAnsi="Arial"/>
          <w:sz w:val="18"/>
          <w:szCs w:val="18"/>
        </w:rPr>
        <w:t>III – demonstrativos financeiros;</w:t>
      </w:r>
    </w:p>
    <w:p>
      <w:pPr>
        <w:pStyle w:val="ListParagraph"/>
        <w:suppressAutoHyphens w:val="false"/>
        <w:spacing w:beforeAutospacing="1" w:afterAutospacing="1"/>
        <w:ind w:left="1560"/>
        <w:contextualSpacing/>
        <w:rPr>
          <w:rFonts w:ascii="Arial" w:hAnsi="Arial" w:eastAsia="Times New Roman" w:cs="Arial"/>
          <w:sz w:val="18"/>
          <w:szCs w:val="18"/>
        </w:rPr>
      </w:pPr>
      <w:r>
        <w:rPr>
          <w:rFonts w:eastAsia="Times New Roman" w:cs="Arial" w:ascii="Arial" w:hAnsi="Arial"/>
          <w:sz w:val="18"/>
          <w:szCs w:val="18"/>
        </w:rPr>
        <w:t>IV – justificativas técnicas;</w:t>
      </w:r>
    </w:p>
    <w:p>
      <w:pPr>
        <w:pStyle w:val="ListParagraph"/>
        <w:suppressAutoHyphens w:val="false"/>
        <w:spacing w:beforeAutospacing="1" w:afterAutospacing="1"/>
        <w:ind w:left="1560"/>
        <w:contextualSpacing/>
        <w:rPr>
          <w:rFonts w:ascii="Arial" w:hAnsi="Arial" w:eastAsia="Times New Roman" w:cs="Arial"/>
          <w:sz w:val="18"/>
          <w:szCs w:val="18"/>
        </w:rPr>
      </w:pPr>
      <w:r>
        <w:rPr>
          <w:rFonts w:eastAsia="Times New Roman" w:cs="Arial" w:ascii="Arial" w:hAnsi="Arial"/>
          <w:sz w:val="18"/>
          <w:szCs w:val="18"/>
        </w:rPr>
        <w:t>V – documentos comprobatórios;</w:t>
      </w:r>
    </w:p>
    <w:p>
      <w:pPr>
        <w:pStyle w:val="ListParagraph"/>
        <w:suppressAutoHyphens w:val="false"/>
        <w:spacing w:beforeAutospacing="1" w:afterAutospacing="1"/>
        <w:ind w:left="1560"/>
        <w:contextualSpacing/>
        <w:rPr>
          <w:rFonts w:ascii="Arial" w:hAnsi="Arial" w:eastAsia="Times New Roman" w:cs="Arial"/>
          <w:sz w:val="18"/>
          <w:szCs w:val="18"/>
        </w:rPr>
      </w:pPr>
      <w:r>
        <w:rPr>
          <w:rFonts w:eastAsia="Times New Roman" w:cs="Arial" w:ascii="Arial" w:hAnsi="Arial"/>
          <w:sz w:val="18"/>
          <w:szCs w:val="18"/>
        </w:rPr>
        <w:t>VI – quaisquer outros elementos necessários à formação do convencimento da Administração.</w:t>
      </w:r>
    </w:p>
    <w:p>
      <w:pPr>
        <w:pStyle w:val="Nvel2-Red"/>
        <w:numPr>
          <w:ilvl w:val="1"/>
          <w:numId w:val="18"/>
        </w:numPr>
        <w:spacing w:lineRule="auto" w:line="240" w:before="0" w:after="0"/>
        <w:ind w:hanging="405" w:left="1134"/>
        <w:rPr>
          <w:i w:val="false"/>
          <w:color w:themeColor="text1" w:val="000000"/>
          <w:sz w:val="18"/>
          <w:szCs w:val="18"/>
        </w:rPr>
      </w:pPr>
      <w:r>
        <w:rPr>
          <w:i w:val="false"/>
          <w:iCs w:val="false"/>
          <w:color w:themeColor="text1" w:val="000000"/>
          <w:sz w:val="18"/>
          <w:szCs w:val="18"/>
        </w:rPr>
        <w:t>Os erros meramente formais ou materiais na proposta ou na planilha de composição de custos, quando exigida pela Administração, não constituirão motivo para sua desclassificação, desde que possam ser sanados sem alteração da substância da proposta, do valor ofertado ou prejuízo à isonomia entre os licitantes.;</w:t>
      </w:r>
    </w:p>
    <w:p>
      <w:pPr>
        <w:pStyle w:val="Nvel2-Red"/>
        <w:numPr>
          <w:ilvl w:val="2"/>
          <w:numId w:val="18"/>
        </w:numPr>
        <w:spacing w:lineRule="auto" w:line="240" w:before="0" w:after="0"/>
        <w:ind w:hanging="432" w:left="1560"/>
        <w:rPr>
          <w:i w:val="false"/>
          <w:color w:themeColor="text1" w:val="000000"/>
          <w:sz w:val="18"/>
          <w:szCs w:val="18"/>
        </w:rPr>
      </w:pPr>
      <w:r>
        <w:rPr>
          <w:i w:val="false"/>
          <w:iCs w:val="false"/>
          <w:color w:themeColor="text1" w:val="000000"/>
          <w:sz w:val="18"/>
          <w:szCs w:val="18"/>
        </w:rPr>
        <w:t>O ajuste de que trata este item limita-se ao saneamento de erros ou falhas que não alterem a substância da proposta, o valor ofertado ou as condições de competição entre os licitantes;</w:t>
      </w:r>
    </w:p>
    <w:p>
      <w:pPr>
        <w:pStyle w:val="Nvel2-Red"/>
        <w:numPr>
          <w:ilvl w:val="1"/>
          <w:numId w:val="18"/>
        </w:numPr>
        <w:spacing w:lineRule="auto" w:line="240" w:before="0" w:after="0"/>
        <w:ind w:hanging="405" w:left="1134"/>
        <w:rPr>
          <w:i w:val="false"/>
          <w:color w:themeColor="text1" w:val="000000"/>
          <w:sz w:val="18"/>
          <w:szCs w:val="18"/>
        </w:rPr>
      </w:pPr>
      <w:r>
        <w:rPr>
          <w:i w:val="false"/>
          <w:iCs w:val="false"/>
          <w:color w:themeColor="text1" w:val="000000"/>
          <w:sz w:val="18"/>
          <w:szCs w:val="18"/>
          <w:lang w:eastAsia="en-US"/>
        </w:rPr>
        <w:t>Para fins de análise da aceitabilidade da proposta e do atendimento às especificações técnicas do objeto, o Agente de Contratação poderá solicitar manifestação da Secretaria Municipal de Educação, Cultura, Desporto e Lazer, da equipe técnica responsável pela elaboração do Termo de Referência, do Fiscal do Contrato ou de outro setor técnico competente.</w:t>
      </w:r>
    </w:p>
    <w:p>
      <w:pPr>
        <w:pStyle w:val="Nvel2-Red"/>
        <w:numPr>
          <w:ilvl w:val="0"/>
          <w:numId w:val="18"/>
        </w:numPr>
        <w:spacing w:lineRule="auto" w:line="240" w:before="0" w:after="0"/>
        <w:ind w:hanging="432" w:left="999"/>
        <w:rPr>
          <w:b/>
          <w:i w:val="false"/>
          <w:color w:themeColor="text1" w:val="000000"/>
          <w:sz w:val="18"/>
          <w:szCs w:val="18"/>
        </w:rPr>
      </w:pPr>
      <w:bookmarkStart w:id="30" w:name="_Toc135469230"/>
      <w:r>
        <w:rPr>
          <w:b/>
          <w:bCs/>
          <w:i w:val="false"/>
          <w:iCs w:val="false"/>
          <w:color w:themeColor="text1" w:val="000000"/>
          <w:sz w:val="18"/>
          <w:szCs w:val="18"/>
        </w:rPr>
        <w:t>DA FASE DE HABILITAÇÃO</w:t>
      </w:r>
      <w:bookmarkEnd w:id="30"/>
    </w:p>
    <w:p>
      <w:pPr>
        <w:pStyle w:val="Nvel2-Red"/>
        <w:numPr>
          <w:ilvl w:val="1"/>
          <w:numId w:val="18"/>
        </w:numPr>
        <w:spacing w:lineRule="auto" w:line="240" w:before="0" w:after="0"/>
        <w:ind w:hanging="405" w:left="1134"/>
        <w:rPr>
          <w:i w:val="false"/>
          <w:color w:themeColor="text1" w:val="000000"/>
          <w:sz w:val="18"/>
          <w:szCs w:val="18"/>
        </w:rPr>
      </w:pPr>
      <w:r>
        <w:rPr>
          <w:i w:val="false"/>
          <w:iCs w:val="false"/>
          <w:color w:themeColor="text1" w:val="000000"/>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20" w:tooltip="http://www.planalto.gov.br/ccivil_03/_ato2019-2022/2021/lei/L14133.htm#art62&quot; l &quot;art62">
        <w:r>
          <w:rPr>
            <w:rStyle w:val="Style"/>
            <w:i w:val="false"/>
            <w:iCs w:val="false"/>
            <w:color w:themeColor="text1" w:val="000000"/>
            <w:sz w:val="18"/>
            <w:szCs w:val="18"/>
            <w:u w:val="single"/>
          </w:rPr>
          <w:t>arts. 62 a 70 da Lei nº 14.133, de 2021</w:t>
        </w:r>
      </w:hyperlink>
      <w:r>
        <w:rPr>
          <w:i w:val="false"/>
          <w:iCs w:val="false"/>
          <w:color w:themeColor="text1" w:val="000000"/>
          <w:sz w:val="18"/>
          <w:szCs w:val="18"/>
        </w:rPr>
        <w:t>.</w:t>
      </w:r>
    </w:p>
    <w:p>
      <w:pPr>
        <w:pStyle w:val="Nvel2-Red"/>
        <w:numPr>
          <w:ilvl w:val="1"/>
          <w:numId w:val="18"/>
        </w:numPr>
        <w:spacing w:lineRule="auto" w:line="240" w:before="0" w:after="0"/>
        <w:ind w:hanging="405" w:left="1134"/>
        <w:rPr>
          <w:i w:val="false"/>
          <w:color w:themeColor="text1" w:val="000000"/>
          <w:sz w:val="18"/>
          <w:szCs w:val="18"/>
        </w:rPr>
      </w:pPr>
      <w:r>
        <w:rPr>
          <w:i w:val="false"/>
          <w:iCs w:val="false"/>
          <w:color w:themeColor="text1" w:val="000000"/>
          <w:sz w:val="18"/>
          <w:szCs w:val="18"/>
        </w:rPr>
        <w:t>Os documentos exigidos para fins de habilitação poderão ser apresentados em original, por cópia.</w:t>
      </w:r>
    </w:p>
    <w:p>
      <w:pPr>
        <w:pStyle w:val="Nvel2-Red"/>
        <w:numPr>
          <w:ilvl w:val="1"/>
          <w:numId w:val="18"/>
        </w:numPr>
        <w:spacing w:lineRule="auto" w:line="240" w:before="0" w:after="0"/>
        <w:ind w:hanging="405" w:left="1134"/>
        <w:rPr>
          <w:i w:val="false"/>
          <w:color w:themeColor="text1" w:val="000000"/>
          <w:sz w:val="18"/>
          <w:szCs w:val="18"/>
        </w:rPr>
      </w:pPr>
      <w:r>
        <w:rPr>
          <w:i w:val="false"/>
          <w:iCs w:val="false"/>
          <w:color w:themeColor="text1" w:val="000000"/>
          <w:sz w:val="18"/>
          <w:szCs w:val="18"/>
        </w:rPr>
        <w:t>Será verificado se o licitante apresentou declaração de que atende aos requisitos de habilitação, e o declarante responderá pela veracidade das informações prestadas, na forma da lei (</w:t>
      </w:r>
      <w:hyperlink r:id="rId21" w:tooltip="http://www.planalto.gov.br/ccivil_03/_ato2019-2022/2021/lei/L14133.htm#art63&quot; l &quot;art63">
        <w:r>
          <w:rPr>
            <w:rStyle w:val="Style"/>
            <w:i w:val="false"/>
            <w:iCs w:val="false"/>
            <w:color w:themeColor="text1" w:val="000000"/>
            <w:sz w:val="18"/>
            <w:szCs w:val="18"/>
            <w:u w:val="single"/>
          </w:rPr>
          <w:t>art. 63, I, da Lei nº 14.133/2021</w:t>
        </w:r>
      </w:hyperlink>
      <w:r>
        <w:rPr>
          <w:i w:val="false"/>
          <w:iCs w:val="false"/>
          <w:color w:themeColor="text1" w:val="000000"/>
          <w:sz w:val="18"/>
          <w:szCs w:val="18"/>
        </w:rPr>
        <w:t>).</w:t>
      </w:r>
    </w:p>
    <w:p>
      <w:pPr>
        <w:pStyle w:val="Nvel2-Red"/>
        <w:numPr>
          <w:ilvl w:val="1"/>
          <w:numId w:val="18"/>
        </w:numPr>
        <w:spacing w:lineRule="auto" w:line="240" w:before="0" w:after="0"/>
        <w:ind w:hanging="405" w:left="1134"/>
        <w:rPr>
          <w:i w:val="false"/>
          <w:color w:themeColor="text1" w:val="000000"/>
          <w:sz w:val="18"/>
          <w:szCs w:val="18"/>
        </w:rPr>
      </w:pPr>
      <w:r>
        <w:rPr>
          <w:i w:val="false"/>
          <w:iCs w:val="false"/>
          <w:color w:themeColor="text1" w:val="000000"/>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pPr>
        <w:pStyle w:val="Nvel2-Red"/>
        <w:numPr>
          <w:ilvl w:val="1"/>
          <w:numId w:val="18"/>
        </w:numPr>
        <w:spacing w:lineRule="auto" w:line="240" w:before="0" w:after="0"/>
        <w:ind w:hanging="405" w:left="1134"/>
        <w:rPr>
          <w:i w:val="false"/>
          <w:color w:themeColor="text1" w:val="000000"/>
          <w:sz w:val="18"/>
          <w:szCs w:val="18"/>
        </w:rPr>
      </w:pPr>
      <w:r>
        <w:rPr>
          <w:i w:val="false"/>
          <w:iCs w:val="false"/>
          <w:color w:themeColor="text1" w:val="000000"/>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pPr>
        <w:pStyle w:val="Nvel2-Red"/>
        <w:numPr>
          <w:ilvl w:val="1"/>
          <w:numId w:val="18"/>
        </w:numPr>
        <w:spacing w:lineRule="auto" w:line="240" w:before="0" w:after="0"/>
        <w:ind w:hanging="405" w:left="1134"/>
        <w:rPr>
          <w:i w:val="false"/>
          <w:color w:themeColor="text1" w:val="000000"/>
          <w:sz w:val="18"/>
          <w:szCs w:val="18"/>
        </w:rPr>
      </w:pPr>
      <w:r>
        <w:rPr>
          <w:i w:val="false"/>
          <w:iCs w:val="false"/>
          <w:color w:themeColor="text1" w:val="000000"/>
          <w:sz w:val="18"/>
          <w:szCs w:val="18"/>
        </w:rPr>
        <w:t xml:space="preserve">Somente haverá a necessidade de comprovação do preenchimento de requisitos mediante apresentação dos documentos de habilitação originais não digitais quando houver dúvida em relação à integridade do documento digital ou quando a lei expressamente o exigir. </w:t>
      </w:r>
    </w:p>
    <w:p>
      <w:pPr>
        <w:pStyle w:val="Nvel2-Red"/>
        <w:numPr>
          <w:ilvl w:val="1"/>
          <w:numId w:val="18"/>
        </w:numPr>
        <w:spacing w:lineRule="auto" w:line="240" w:before="0" w:after="0"/>
        <w:ind w:hanging="405" w:left="1134"/>
        <w:rPr>
          <w:i w:val="false"/>
          <w:color w:themeColor="text1" w:val="000000"/>
          <w:sz w:val="18"/>
          <w:szCs w:val="18"/>
        </w:rPr>
      </w:pPr>
      <w:r>
        <w:rPr>
          <w:i w:val="false"/>
          <w:iCs w:val="false"/>
          <w:color w:themeColor="text1" w:val="000000"/>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pPr>
        <w:pStyle w:val="Nvel2-Red"/>
        <w:numPr>
          <w:ilvl w:val="2"/>
          <w:numId w:val="18"/>
        </w:numPr>
        <w:spacing w:lineRule="auto" w:line="240" w:before="0" w:after="0"/>
        <w:ind w:hanging="432" w:left="1560"/>
        <w:rPr>
          <w:i w:val="false"/>
          <w:color w:themeColor="text1" w:val="000000"/>
          <w:sz w:val="18"/>
          <w:szCs w:val="18"/>
        </w:rPr>
      </w:pPr>
      <w:r>
        <w:rPr>
          <w:i w:val="false"/>
          <w:iCs w:val="false"/>
          <w:color w:themeColor="text1" w:val="000000"/>
          <w:sz w:val="18"/>
          <w:szCs w:val="18"/>
        </w:rPr>
        <w:t xml:space="preserve">A não observância do disposto no item anterior poderá ensejar desclassificação no momento da habilitação. </w:t>
      </w:r>
    </w:p>
    <w:p>
      <w:pPr>
        <w:pStyle w:val="Nvel2-Red"/>
        <w:numPr>
          <w:ilvl w:val="1"/>
          <w:numId w:val="18"/>
        </w:numPr>
        <w:spacing w:lineRule="auto" w:line="240" w:before="0" w:after="0"/>
        <w:ind w:hanging="405" w:left="1134"/>
        <w:rPr>
          <w:i w:val="false"/>
          <w:color w:themeColor="text1" w:val="000000"/>
          <w:sz w:val="18"/>
          <w:szCs w:val="18"/>
        </w:rPr>
      </w:pPr>
      <w:r>
        <w:rPr>
          <w:i w:val="false"/>
          <w:iCs w:val="false"/>
          <w:color w:themeColor="text1" w:val="000000"/>
          <w:sz w:val="18"/>
          <w:szCs w:val="18"/>
        </w:rPr>
        <w:t>A verificação pelo pregoeiro, em sítios eletrônicos oficiais de órgãos e entidades emissores de certidões constitui meio legal de prova, para fins de habilitação.</w:t>
      </w:r>
    </w:p>
    <w:p>
      <w:pPr>
        <w:pStyle w:val="Nvel2-Red"/>
        <w:numPr>
          <w:ilvl w:val="2"/>
          <w:numId w:val="18"/>
        </w:numPr>
        <w:spacing w:lineRule="auto" w:line="240" w:before="0" w:after="0"/>
        <w:ind w:hanging="432" w:left="1560"/>
        <w:rPr>
          <w:b/>
          <w:i w:val="false"/>
          <w:color w:themeColor="text1" w:val="000000"/>
          <w:sz w:val="18"/>
          <w:szCs w:val="18"/>
        </w:rPr>
      </w:pPr>
      <w:bookmarkStart w:id="31" w:name="_Ref114663151"/>
      <w:r>
        <w:rPr>
          <w:i w:val="false"/>
          <w:iCs w:val="false"/>
          <w:color w:themeColor="text1" w:val="000000"/>
          <w:sz w:val="18"/>
          <w:szCs w:val="18"/>
        </w:rPr>
        <w:t>Os documentos exigidos para habilitação serão enviados por meio do sistema, em formato digital, no prazo</w:t>
      </w:r>
      <w:r>
        <w:rPr>
          <w:b/>
          <w:bCs/>
          <w:i w:val="false"/>
          <w:iCs w:val="false"/>
          <w:color w:themeColor="text1" w:val="000000"/>
          <w:sz w:val="18"/>
          <w:szCs w:val="18"/>
        </w:rPr>
        <w:t xml:space="preserve"> de duas horas</w:t>
      </w:r>
      <w:r>
        <w:rPr>
          <w:i w:val="false"/>
          <w:iCs w:val="false"/>
          <w:color w:themeColor="text1" w:val="000000"/>
          <w:sz w:val="18"/>
          <w:szCs w:val="18"/>
        </w:rPr>
        <w:t>, prorrogável por igual período, contado da solicitação do pregoeiro.</w:t>
      </w:r>
      <w:bookmarkEnd w:id="31"/>
    </w:p>
    <w:p>
      <w:pPr>
        <w:pStyle w:val="Nvel2-Red"/>
        <w:numPr>
          <w:ilvl w:val="1"/>
          <w:numId w:val="18"/>
        </w:numPr>
        <w:spacing w:lineRule="auto" w:line="240" w:before="0" w:after="0"/>
        <w:ind w:hanging="405" w:left="1134"/>
        <w:rPr>
          <w:i w:val="false"/>
          <w:color w:themeColor="text1" w:val="000000"/>
          <w:sz w:val="18"/>
          <w:szCs w:val="18"/>
        </w:rPr>
      </w:pPr>
      <w:r>
        <w:rPr>
          <w:i w:val="false"/>
          <w:iCs w:val="false"/>
          <w:color w:themeColor="text1" w:val="000000"/>
          <w:sz w:val="18"/>
          <w:szCs w:val="18"/>
        </w:rPr>
        <w:t>A verificação da habilitação somente será feita em relação ao licitante vencedor.</w:t>
      </w:r>
    </w:p>
    <w:p>
      <w:pPr>
        <w:pStyle w:val="Nvel2-Red"/>
        <w:numPr>
          <w:ilvl w:val="1"/>
          <w:numId w:val="18"/>
        </w:numPr>
        <w:spacing w:lineRule="auto" w:line="240" w:before="0" w:after="0"/>
        <w:ind w:hanging="405" w:left="1134"/>
        <w:rPr>
          <w:i w:val="false"/>
          <w:color w:themeColor="text1" w:val="000000"/>
          <w:sz w:val="18"/>
          <w:szCs w:val="18"/>
        </w:rPr>
      </w:pPr>
      <w:r>
        <w:rPr>
          <w:i w:val="false"/>
          <w:iCs w:val="false"/>
          <w:color w:themeColor="text1" w:val="000000"/>
          <w:sz w:val="18"/>
          <w:szCs w:val="18"/>
        </w:rPr>
        <w:t>Após a entrega dos documentos para habilitação, não será permitida a substituição ou a apresentação de novos documentos, salvo em sede de diligência, para (</w:t>
      </w:r>
      <w:hyperlink r:id="rId22" w:tooltip="http://www.planalto.gov.br/ccivil_03/_ato2019-2022/2021/lei/L14133.htm#art64&quot; l &quot;art64">
        <w:r>
          <w:rPr>
            <w:rStyle w:val="Style"/>
            <w:i w:val="false"/>
            <w:iCs w:val="false"/>
            <w:color w:themeColor="text1" w:val="000000"/>
            <w:sz w:val="18"/>
            <w:szCs w:val="18"/>
            <w:u w:val="single"/>
          </w:rPr>
          <w:t>Lei 14.133/21, art. 64</w:t>
        </w:r>
      </w:hyperlink>
      <w:r>
        <w:rPr>
          <w:rStyle w:val="Hyperlink1"/>
          <w:i w:val="false"/>
          <w:iCs w:val="false"/>
          <w:color w:themeColor="text1" w:val="000000"/>
          <w:sz w:val="18"/>
          <w:szCs w:val="18"/>
        </w:rPr>
        <w:t>)</w:t>
      </w:r>
      <w:r>
        <w:rPr>
          <w:i w:val="false"/>
          <w:iCs w:val="false"/>
          <w:color w:themeColor="text1" w:val="000000"/>
          <w:sz w:val="18"/>
          <w:szCs w:val="18"/>
        </w:rPr>
        <w:t>.</w:t>
      </w:r>
    </w:p>
    <w:p>
      <w:pPr>
        <w:pStyle w:val="Nvel2-Red"/>
        <w:numPr>
          <w:ilvl w:val="2"/>
          <w:numId w:val="18"/>
        </w:numPr>
        <w:spacing w:lineRule="auto" w:line="240" w:before="0" w:after="0"/>
        <w:ind w:hanging="432" w:left="1560"/>
        <w:rPr>
          <w:i w:val="false"/>
          <w:color w:themeColor="text1" w:val="000000"/>
          <w:sz w:val="18"/>
          <w:szCs w:val="18"/>
        </w:rPr>
      </w:pPr>
      <w:r>
        <w:rPr>
          <w:i w:val="false"/>
          <w:iCs w:val="false"/>
          <w:color w:themeColor="text1" w:val="000000"/>
          <w:sz w:val="18"/>
          <w:szCs w:val="18"/>
        </w:rPr>
        <w:t>Complementação de informações acerca dos documentos já apresentados pelos licitantes e desde que necessária para apurar fatos existentes à época da abertura do certame; e</w:t>
      </w:r>
    </w:p>
    <w:p>
      <w:pPr>
        <w:pStyle w:val="Nvel2-Red"/>
        <w:numPr>
          <w:ilvl w:val="2"/>
          <w:numId w:val="18"/>
        </w:numPr>
        <w:spacing w:lineRule="auto" w:line="240" w:before="0" w:after="0"/>
        <w:ind w:hanging="432" w:left="1560"/>
        <w:rPr>
          <w:i w:val="false"/>
          <w:color w:themeColor="text1" w:val="000000"/>
          <w:sz w:val="18"/>
          <w:szCs w:val="18"/>
        </w:rPr>
      </w:pPr>
      <w:r>
        <w:rPr>
          <w:i w:val="false"/>
          <w:iCs w:val="false"/>
          <w:color w:themeColor="text1" w:val="000000"/>
          <w:sz w:val="18"/>
          <w:szCs w:val="18"/>
        </w:rPr>
        <w:t>atualização de documentos cuja validade tenha expirado após a data de recebimento das propostas;</w:t>
      </w:r>
    </w:p>
    <w:p>
      <w:pPr>
        <w:pStyle w:val="Nvel2-Red"/>
        <w:numPr>
          <w:ilvl w:val="1"/>
          <w:numId w:val="18"/>
        </w:numPr>
        <w:spacing w:lineRule="auto" w:line="240" w:before="0" w:after="0"/>
        <w:ind w:hanging="405" w:left="1134"/>
        <w:rPr>
          <w:i w:val="false"/>
          <w:color w:themeColor="text1" w:val="000000"/>
          <w:sz w:val="18"/>
          <w:szCs w:val="18"/>
        </w:rPr>
      </w:pPr>
      <w:bookmarkStart w:id="32" w:name="_Ref114670319"/>
      <w:r>
        <w:rPr>
          <w:i w:val="false"/>
          <w:iCs w:val="false"/>
          <w:color w:themeColor="text1" w:val="000000"/>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2"/>
    </w:p>
    <w:p>
      <w:pPr>
        <w:pStyle w:val="Nvel2-Red"/>
        <w:numPr>
          <w:ilvl w:val="1"/>
          <w:numId w:val="18"/>
        </w:numPr>
        <w:spacing w:lineRule="auto" w:line="240" w:before="0" w:after="0"/>
        <w:ind w:hanging="405" w:left="1134"/>
        <w:rPr>
          <w:i w:val="false"/>
          <w:color w:themeColor="text1" w:val="000000"/>
          <w:sz w:val="18"/>
          <w:szCs w:val="18"/>
        </w:rPr>
      </w:pPr>
      <w:bookmarkStart w:id="33" w:name="_Ref114665528"/>
      <w:r>
        <w:rPr>
          <w:i w:val="false"/>
          <w:iCs w:val="false"/>
          <w:color w:themeColor="text1" w:val="000000"/>
          <w:sz w:val="18"/>
          <w:szCs w:val="18"/>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8.8.1</w:t>
      </w:r>
      <w:r>
        <w:rPr>
          <w:i w:val="false"/>
          <w:iCs w:val="false"/>
          <w:color w:themeColor="text1" w:val="000000"/>
          <w:sz w:val="18"/>
          <w:szCs w:val="18"/>
        </w:rPr>
        <w:fldChar w:fldCharType="begin"/>
      </w:r>
      <w:r>
        <w:rPr>
          <w:i w:val="false"/>
          <w:iCs w:val="false"/>
          <w:color w:themeColor="text1" w:val="000000"/>
          <w:sz w:val="18"/>
          <w:szCs w:val="18"/>
        </w:rPr>
        <w:instrText xml:space="preserve"> REF _Ref114663151 \r \r \h </w:instrText>
      </w:r>
      <w:r>
        <w:rPr>
          <w:i w:val="false"/>
          <w:iCs w:val="false"/>
          <w:color w:themeColor="text1" w:val="000000"/>
          <w:sz w:val="18"/>
          <w:szCs w:val="18"/>
        </w:rPr>
        <w:fldChar w:fldCharType="separate"/>
      </w:r>
      <w:r>
        <w:rPr>
          <w:i w:val="false"/>
          <w:iCs w:val="false"/>
          <w:color w:themeColor="text1" w:val="000000"/>
          <w:sz w:val="18"/>
          <w:szCs w:val="18"/>
        </w:rPr>
        <w:t>8.8.1</w:t>
      </w:r>
      <w:r>
        <w:rPr>
          <w:i w:val="false"/>
          <w:iCs w:val="false"/>
          <w:color w:themeColor="text1" w:val="000000"/>
          <w:sz w:val="18"/>
          <w:szCs w:val="18"/>
        </w:rPr>
        <w:fldChar w:fldCharType="end"/>
      </w:r>
      <w:r>
        <w:rPr>
          <w:i w:val="false"/>
          <w:iCs w:val="false"/>
          <w:color w:themeColor="text1" w:val="000000"/>
          <w:sz w:val="18"/>
          <w:szCs w:val="18"/>
        </w:rPr>
        <w:t>.</w:t>
      </w:r>
      <w:bookmarkEnd w:id="33"/>
    </w:p>
    <w:p>
      <w:pPr>
        <w:pStyle w:val="Nvel2-Red"/>
        <w:numPr>
          <w:ilvl w:val="1"/>
          <w:numId w:val="18"/>
        </w:numPr>
        <w:spacing w:lineRule="auto" w:line="240" w:before="0" w:after="0"/>
        <w:ind w:hanging="405" w:left="1134"/>
        <w:rPr>
          <w:i w:val="false"/>
          <w:color w:themeColor="text1" w:val="000000"/>
          <w:sz w:val="18"/>
          <w:szCs w:val="18"/>
        </w:rPr>
      </w:pPr>
      <w:bookmarkStart w:id="34" w:name="_Ref114665515"/>
      <w:r>
        <w:rPr>
          <w:i w:val="false"/>
          <w:iCs w:val="false"/>
          <w:color w:themeColor="text1" w:val="000000"/>
          <w:sz w:val="18"/>
          <w:szCs w:val="18"/>
        </w:rPr>
        <w:t>Somente serão disponibilizados para acesso público os documentos de habilitação do licitante cuja proposta atenda ao edital de licitação, após concluídos os procedimentos de que trata o subitem anterior</w:t>
      </w:r>
      <w:bookmarkEnd w:id="34"/>
      <w:r>
        <w:rPr>
          <w:i w:val="false"/>
          <w:iCs w:val="false"/>
          <w:color w:themeColor="text1" w:val="000000"/>
          <w:sz w:val="18"/>
          <w:szCs w:val="18"/>
        </w:rPr>
        <w:t>.</w:t>
      </w:r>
    </w:p>
    <w:p>
      <w:pPr>
        <w:pStyle w:val="Nvel2-Red"/>
        <w:numPr>
          <w:ilvl w:val="1"/>
          <w:numId w:val="18"/>
        </w:numPr>
        <w:spacing w:lineRule="auto" w:line="240" w:before="0" w:after="0"/>
        <w:ind w:hanging="405" w:left="1134"/>
        <w:rPr>
          <w:i w:val="false"/>
          <w:color w:themeColor="text1" w:val="000000"/>
          <w:sz w:val="18"/>
          <w:szCs w:val="18"/>
        </w:rPr>
      </w:pPr>
      <w:r>
        <w:rPr>
          <w:i w:val="false"/>
          <w:iCs w:val="false"/>
          <w:color w:themeColor="text1" w:val="000000"/>
          <w:sz w:val="18"/>
          <w:szCs w:val="18"/>
        </w:rPr>
        <w:t>A comprovação de regularidade fiscal e trabalhista das microempresas e das empresas de pequeno porte somente será exigida para efeito de contratação, e não como condição para participação na licitação.</w:t>
      </w:r>
    </w:p>
    <w:p>
      <w:pPr>
        <w:pStyle w:val="Nvel2-Red"/>
        <w:numPr>
          <w:ilvl w:val="1"/>
          <w:numId w:val="18"/>
        </w:numPr>
        <w:spacing w:lineRule="auto" w:line="240" w:before="0" w:after="0"/>
        <w:ind w:hanging="405" w:left="1134"/>
        <w:rPr>
          <w:i w:val="false"/>
          <w:color w:themeColor="text1" w:val="000000"/>
          <w:sz w:val="18"/>
          <w:szCs w:val="18"/>
        </w:rPr>
      </w:pPr>
      <w:r>
        <w:rPr>
          <w:i w:val="false"/>
          <w:color w:themeColor="text1" w:val="000000"/>
          <w:sz w:val="18"/>
          <w:szCs w:val="18"/>
        </w:rPr>
        <w:t>A Administração poderá promover diligências destinadas a esclarecer ou complementar a instrução do processo de habilitação, podendo solicitar documentos, esclarecimentos ou informações adicionais que se mostrem necessários à comprovação do atendimento das exigências previstas neste Edital, observado o disposto no art. 64 da Lei Federal nº 14.133/2021.</w:t>
      </w:r>
    </w:p>
    <w:p>
      <w:pPr>
        <w:pStyle w:val="Nvel2-Red"/>
        <w:numPr>
          <w:ilvl w:val="1"/>
          <w:numId w:val="18"/>
        </w:numPr>
        <w:spacing w:lineRule="auto" w:line="240" w:before="0" w:after="0"/>
        <w:ind w:hanging="405" w:left="1134"/>
        <w:rPr>
          <w:i w:val="false"/>
          <w:color w:themeColor="text1" w:val="000000"/>
          <w:sz w:val="18"/>
          <w:szCs w:val="18"/>
        </w:rPr>
      </w:pPr>
      <w:r>
        <w:rPr>
          <w:i w:val="false"/>
          <w:color w:themeColor="text1" w:val="000000"/>
          <w:sz w:val="18"/>
          <w:szCs w:val="18"/>
        </w:rPr>
        <w:t>O não atendimento às diligências promovidas pela Administração, no prazo fixado, poderá ensejar a inabilitação da licitante, mediante decisão fundamentada, assegurados o contraditório e a ampla defesa quando cabíveis.</w:t>
      </w:r>
    </w:p>
    <w:p>
      <w:pPr>
        <w:pStyle w:val="Nvel2-Red"/>
        <w:numPr>
          <w:ilvl w:val="1"/>
          <w:numId w:val="18"/>
        </w:numPr>
        <w:spacing w:lineRule="auto" w:line="240" w:before="0" w:after="0"/>
        <w:ind w:hanging="405" w:left="1134"/>
        <w:rPr>
          <w:i w:val="false"/>
          <w:color w:themeColor="text1" w:val="000000"/>
          <w:sz w:val="18"/>
          <w:szCs w:val="18"/>
        </w:rPr>
      </w:pPr>
      <w:r>
        <w:rPr>
          <w:i w:val="false"/>
          <w:color w:themeColor="text1" w:val="000000"/>
          <w:sz w:val="18"/>
          <w:szCs w:val="18"/>
        </w:rPr>
        <w:t>A licitante classificada em primeiro lugar deverá apresentar toda a documentação exigida neste Edital e no Termo de Referência, responsabilizando-se pela veracidade das informações prestadas e pela manutenção das condições de habilitação durante toda a execução contratual.</w:t>
      </w:r>
    </w:p>
    <w:p>
      <w:pPr>
        <w:pStyle w:val="Nvel2-Red"/>
        <w:numPr>
          <w:ilvl w:val="1"/>
          <w:numId w:val="18"/>
        </w:numPr>
        <w:spacing w:lineRule="auto" w:line="240" w:before="0" w:after="0"/>
        <w:ind w:hanging="405" w:left="1134"/>
        <w:rPr>
          <w:i w:val="false"/>
          <w:color w:themeColor="text1" w:val="000000"/>
          <w:sz w:val="18"/>
          <w:szCs w:val="18"/>
        </w:rPr>
      </w:pPr>
      <w:r>
        <w:rPr>
          <w:i w:val="false"/>
          <w:color w:themeColor="text1" w:val="000000"/>
          <w:sz w:val="18"/>
          <w:szCs w:val="18"/>
        </w:rPr>
        <w:t>Os documentos específicos relativos aos veículos, motoristas, licenças, autorizações, seguros, vistorias e demais requisitos técnicos necessários à execução dos serviços deverão ser apresentados pela licitante vencedora antes da assinatura do contrato, na forma e nos prazos estabelecidos no Termo de Referência, constituindo condição indispensável para emissão da Ordem de Serviço e início da execução contratual.</w:t>
      </w:r>
    </w:p>
    <w:p>
      <w:pPr>
        <w:pStyle w:val="Nvel2-Red"/>
        <w:numPr>
          <w:ilvl w:val="1"/>
          <w:numId w:val="18"/>
        </w:numPr>
        <w:spacing w:lineRule="auto" w:line="240" w:before="0" w:after="0"/>
        <w:ind w:hanging="405" w:left="1134"/>
        <w:rPr>
          <w:i w:val="false"/>
          <w:color w:themeColor="text1" w:val="000000"/>
          <w:sz w:val="18"/>
          <w:szCs w:val="18"/>
        </w:rPr>
      </w:pPr>
      <w:r>
        <w:rPr>
          <w:i w:val="false"/>
          <w:color w:themeColor="text1" w:val="000000"/>
          <w:sz w:val="18"/>
          <w:szCs w:val="18"/>
        </w:rPr>
        <w:t xml:space="preserve">Manter, durante toda a vigência do contrato, os veículos submetidos às inspeções e vistorias exigidas pela legislação e por este Termo de Referência, apresentando </w:t>
      </w:r>
      <w:r>
        <w:rPr>
          <w:b/>
          <w:bCs/>
          <w:i w:val="false"/>
          <w:color w:themeColor="text1" w:val="000000"/>
          <w:sz w:val="18"/>
          <w:szCs w:val="18"/>
        </w:rPr>
        <w:t>laudo de vistoria semestral emitido por engenheiro mecânico devidamente registrado no CREA</w:t>
      </w:r>
      <w:r>
        <w:rPr>
          <w:i w:val="false"/>
          <w:color w:themeColor="text1" w:val="000000"/>
          <w:sz w:val="18"/>
          <w:szCs w:val="18"/>
        </w:rPr>
        <w:t>, bem como realizando as demais vistorias exigidas pelo DEMUTRAN ou pelos órgãos de trânsito competentes</w:t>
      </w:r>
    </w:p>
    <w:p>
      <w:pPr>
        <w:pStyle w:val="Nvel2-Red"/>
        <w:numPr>
          <w:ilvl w:val="0"/>
          <w:numId w:val="0"/>
        </w:numPr>
        <w:spacing w:lineRule="auto" w:line="240" w:before="0" w:after="0"/>
        <w:ind w:hanging="0" w:left="1134"/>
        <w:rPr>
          <w:sz w:val="18"/>
          <w:szCs w:val="18"/>
        </w:rPr>
      </w:pPr>
      <w:r>
        <w:rPr>
          <w:sz w:val="18"/>
          <w:szCs w:val="18"/>
        </w:rPr>
      </w:r>
    </w:p>
    <w:p>
      <w:pPr>
        <w:pStyle w:val="Nvel2-Red"/>
        <w:numPr>
          <w:ilvl w:val="0"/>
          <w:numId w:val="18"/>
        </w:numPr>
        <w:spacing w:lineRule="auto" w:line="240" w:before="0" w:after="0"/>
        <w:ind w:hanging="432" w:left="999"/>
        <w:rPr>
          <w:b/>
          <w:i w:val="false"/>
          <w:color w:themeColor="text1" w:val="000000"/>
          <w:sz w:val="18"/>
          <w:szCs w:val="18"/>
        </w:rPr>
      </w:pPr>
      <w:bookmarkStart w:id="35" w:name="_Toc135469233"/>
      <w:r>
        <w:rPr>
          <w:b/>
          <w:bCs/>
          <w:i w:val="false"/>
          <w:iCs w:val="false"/>
          <w:color w:themeColor="text1" w:val="000000"/>
          <w:sz w:val="18"/>
          <w:szCs w:val="18"/>
        </w:rPr>
        <w:t>DOS RECURSOS</w:t>
      </w:r>
      <w:bookmarkEnd w:id="35"/>
    </w:p>
    <w:p>
      <w:pPr>
        <w:pStyle w:val="Nvel2-Red"/>
        <w:numPr>
          <w:ilvl w:val="1"/>
          <w:numId w:val="18"/>
        </w:numPr>
        <w:spacing w:lineRule="auto" w:line="240" w:before="0" w:after="0"/>
        <w:ind w:hanging="405" w:left="993"/>
        <w:rPr>
          <w:i w:val="false"/>
          <w:color w:themeColor="text1" w:val="000000"/>
          <w:sz w:val="18"/>
          <w:szCs w:val="18"/>
        </w:rPr>
      </w:pPr>
      <w:r>
        <w:rPr>
          <w:i w:val="false"/>
          <w:iCs w:val="false"/>
          <w:color w:themeColor="text1" w:val="000000"/>
          <w:sz w:val="18"/>
          <w:szCs w:val="18"/>
        </w:rPr>
        <w:t xml:space="preserve">A interposição de recurso referente ao julgamento das propostas, à habilitação ou inabilitação de licitantes, à anulação ou revogação da licitação, observará o disposto no </w:t>
      </w:r>
      <w:hyperlink r:id="rId23" w:tooltip="http://www.planalto.gov.br/ccivil_03/_ato2019-2022/2021/lei/L14133.htm#art165&quot; l &quot;art165">
        <w:r>
          <w:rPr>
            <w:rStyle w:val="Style"/>
            <w:i w:val="false"/>
            <w:iCs w:val="false"/>
            <w:color w:themeColor="text1" w:val="000000"/>
            <w:sz w:val="18"/>
            <w:szCs w:val="18"/>
          </w:rPr>
          <w:t>art. 165 da Lei nº 14.133, de 2021</w:t>
        </w:r>
      </w:hyperlink>
      <w:r>
        <w:rPr>
          <w:i w:val="false"/>
          <w:iCs w:val="false"/>
          <w:color w:themeColor="text1" w:val="000000"/>
          <w:sz w:val="18"/>
          <w:szCs w:val="18"/>
        </w:rPr>
        <w:t>.</w:t>
      </w:r>
    </w:p>
    <w:p>
      <w:pPr>
        <w:pStyle w:val="Nvel2-Red"/>
        <w:numPr>
          <w:ilvl w:val="2"/>
          <w:numId w:val="18"/>
        </w:numPr>
        <w:spacing w:lineRule="auto" w:line="240" w:before="0" w:after="0"/>
        <w:ind w:hanging="432" w:left="1418"/>
        <w:rPr>
          <w:i w:val="false"/>
          <w:color w:themeColor="text1" w:val="000000"/>
          <w:sz w:val="18"/>
          <w:szCs w:val="18"/>
        </w:rPr>
      </w:pPr>
      <w:r>
        <w:rPr>
          <w:i w:val="false"/>
          <w:iCs w:val="false"/>
          <w:color w:themeColor="text1" w:val="000000"/>
          <w:sz w:val="18"/>
          <w:szCs w:val="18"/>
        </w:rPr>
        <w:t>O prazo recursal é de 3 (três) dias úteis, contados da data de intimação ou de lavratura da ata.</w:t>
      </w:r>
    </w:p>
    <w:p>
      <w:pPr>
        <w:pStyle w:val="Nvel2-Red"/>
        <w:numPr>
          <w:ilvl w:val="1"/>
          <w:numId w:val="18"/>
        </w:numPr>
        <w:spacing w:lineRule="auto" w:line="240" w:before="0" w:after="0"/>
        <w:ind w:hanging="405" w:left="993"/>
        <w:rPr>
          <w:i w:val="false"/>
          <w:color w:themeColor="text1" w:val="000000"/>
          <w:sz w:val="18"/>
          <w:szCs w:val="18"/>
        </w:rPr>
      </w:pPr>
      <w:r>
        <w:rPr>
          <w:i w:val="false"/>
          <w:iCs w:val="false"/>
          <w:color w:themeColor="text1" w:val="000000"/>
          <w:sz w:val="18"/>
          <w:szCs w:val="18"/>
        </w:rPr>
        <w:t>Quando o recurso apresentado impugnar o julgamento das propostas ou o ato de habilitação ou inabilitação do licitante:</w:t>
      </w:r>
    </w:p>
    <w:p>
      <w:pPr>
        <w:pStyle w:val="Nvel2-Red"/>
        <w:numPr>
          <w:ilvl w:val="2"/>
          <w:numId w:val="18"/>
        </w:numPr>
        <w:spacing w:lineRule="auto" w:line="240" w:before="0" w:after="0"/>
        <w:ind w:hanging="432" w:left="1418"/>
        <w:rPr>
          <w:i w:val="false"/>
          <w:color w:themeColor="text1" w:val="000000"/>
          <w:sz w:val="18"/>
          <w:szCs w:val="18"/>
        </w:rPr>
      </w:pPr>
      <w:r>
        <w:rPr>
          <w:i w:val="false"/>
          <w:iCs w:val="false"/>
          <w:color w:themeColor="text1" w:val="000000"/>
          <w:sz w:val="18"/>
          <w:szCs w:val="18"/>
        </w:rPr>
        <w:t>a intenção de recorrer deverá ser manifestada imediatamente, sob pena de preclusão;</w:t>
      </w:r>
    </w:p>
    <w:p>
      <w:pPr>
        <w:pStyle w:val="Nvel2-Red"/>
        <w:numPr>
          <w:ilvl w:val="2"/>
          <w:numId w:val="18"/>
        </w:numPr>
        <w:spacing w:lineRule="auto" w:line="240" w:before="0" w:after="0"/>
        <w:ind w:hanging="432" w:left="1418"/>
        <w:rPr>
          <w:b/>
          <w:i w:val="false"/>
          <w:color w:themeColor="text1" w:val="000000"/>
          <w:sz w:val="18"/>
          <w:szCs w:val="18"/>
        </w:rPr>
      </w:pPr>
      <w:bookmarkStart w:id="36" w:name="_Hlk135315794"/>
      <w:bookmarkStart w:id="37" w:name="_Hlk135318381"/>
      <w:r>
        <w:rPr>
          <w:i w:val="false"/>
          <w:iCs w:val="false"/>
          <w:color w:themeColor="text1" w:val="000000"/>
          <w:sz w:val="18"/>
          <w:szCs w:val="18"/>
        </w:rPr>
        <w:t>o prazo para a manifestação da intenção de recorrer não será inferior a 60 (sessenta) minutos.</w:t>
      </w:r>
      <w:bookmarkEnd w:id="36"/>
      <w:bookmarkEnd w:id="37"/>
    </w:p>
    <w:p>
      <w:pPr>
        <w:pStyle w:val="Nvel2-Red"/>
        <w:numPr>
          <w:ilvl w:val="2"/>
          <w:numId w:val="18"/>
        </w:numPr>
        <w:spacing w:lineRule="auto" w:line="240" w:before="0" w:after="0"/>
        <w:ind w:hanging="432" w:left="1418"/>
        <w:rPr>
          <w:i w:val="false"/>
          <w:color w:themeColor="text1" w:val="000000"/>
          <w:sz w:val="18"/>
          <w:szCs w:val="18"/>
        </w:rPr>
      </w:pPr>
      <w:r>
        <w:rPr>
          <w:i w:val="false"/>
          <w:iCs w:val="false"/>
          <w:color w:themeColor="text1" w:val="000000"/>
          <w:sz w:val="18"/>
          <w:szCs w:val="18"/>
        </w:rPr>
        <w:t>O prazo para apresentação das razões recursais será iniciado na data de intimação ou de lavratura da ata de habilitação ou inabilitação;</w:t>
      </w:r>
    </w:p>
    <w:p>
      <w:pPr>
        <w:pStyle w:val="Nvel2-Red"/>
        <w:numPr>
          <w:ilvl w:val="1"/>
          <w:numId w:val="18"/>
        </w:numPr>
        <w:spacing w:lineRule="auto" w:line="240" w:before="0" w:after="0"/>
        <w:ind w:hanging="405" w:left="993"/>
        <w:rPr>
          <w:i w:val="false"/>
          <w:color w:themeColor="text1" w:val="000000"/>
          <w:sz w:val="18"/>
          <w:szCs w:val="18"/>
        </w:rPr>
      </w:pPr>
      <w:r>
        <w:rPr>
          <w:i w:val="false"/>
          <w:iCs w:val="false"/>
          <w:color w:themeColor="text1" w:val="000000"/>
          <w:sz w:val="18"/>
          <w:szCs w:val="18"/>
        </w:rPr>
        <w:t>Os recursos deverão ser encaminhados exclusivamente em campo próprio do sistema.</w:t>
      </w:r>
    </w:p>
    <w:p>
      <w:pPr>
        <w:pStyle w:val="Nvel2-Red"/>
        <w:numPr>
          <w:ilvl w:val="1"/>
          <w:numId w:val="18"/>
        </w:numPr>
        <w:spacing w:lineRule="auto" w:line="240" w:before="0" w:after="0"/>
        <w:ind w:hanging="405" w:left="993"/>
        <w:rPr>
          <w:i w:val="false"/>
          <w:color w:themeColor="text1" w:val="000000"/>
          <w:sz w:val="18"/>
          <w:szCs w:val="18"/>
        </w:rPr>
      </w:pPr>
      <w:r>
        <w:rPr>
          <w:i w:val="false"/>
          <w:iCs w:val="false"/>
          <w:color w:themeColor="text1" w:val="000000"/>
          <w:sz w:val="18"/>
          <w:szCs w:val="18"/>
        </w:rPr>
        <w:t>O recurso será dirigido à autoridade competente que proferiu a decisão recorrida, a qual poderá reconsiderar sua decisão no prazo de 03 (três) dias úteis ou, nesse mesmo prazo, encaminhá-lo à autoridade superior, devidamente instruído, para decisão no prazo de até 10 (dez) dias úteis, contado do recebimento dos autos.</w:t>
      </w:r>
    </w:p>
    <w:p>
      <w:pPr>
        <w:pStyle w:val="Nvel2-Red"/>
        <w:numPr>
          <w:ilvl w:val="1"/>
          <w:numId w:val="18"/>
        </w:numPr>
        <w:spacing w:lineRule="auto" w:line="240" w:before="0" w:after="0"/>
        <w:ind w:hanging="405" w:left="993"/>
        <w:rPr>
          <w:i w:val="false"/>
          <w:color w:themeColor="text1" w:val="000000"/>
          <w:sz w:val="18"/>
          <w:szCs w:val="18"/>
        </w:rPr>
      </w:pPr>
      <w:r>
        <w:rPr>
          <w:i w:val="false"/>
          <w:iCs w:val="false"/>
          <w:color w:themeColor="text1" w:val="000000"/>
          <w:sz w:val="18"/>
          <w:szCs w:val="18"/>
        </w:rPr>
        <w:t xml:space="preserve">Os recursos interpostos fora do prazo não serão conhecidos. </w:t>
      </w:r>
    </w:p>
    <w:p>
      <w:pPr>
        <w:pStyle w:val="Nvel2-Red"/>
        <w:numPr>
          <w:ilvl w:val="1"/>
          <w:numId w:val="18"/>
        </w:numPr>
        <w:spacing w:lineRule="auto" w:line="240" w:before="0" w:after="0"/>
        <w:ind w:hanging="405" w:left="993"/>
        <w:rPr>
          <w:i w:val="false"/>
          <w:color w:themeColor="text1" w:val="000000"/>
          <w:sz w:val="18"/>
          <w:szCs w:val="18"/>
        </w:rPr>
      </w:pPr>
      <w:r>
        <w:rPr>
          <w:i w:val="false"/>
          <w:iCs w:val="false"/>
          <w:color w:themeColor="text1" w:val="000000"/>
          <w:sz w:val="18"/>
          <w:szCs w:val="18"/>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pPr>
        <w:pStyle w:val="Nvel2-Red"/>
        <w:numPr>
          <w:ilvl w:val="1"/>
          <w:numId w:val="18"/>
        </w:numPr>
        <w:spacing w:lineRule="auto" w:line="240" w:before="0" w:after="0"/>
        <w:ind w:hanging="405" w:left="993"/>
        <w:rPr>
          <w:i w:val="false"/>
          <w:color w:themeColor="text1" w:val="000000"/>
          <w:sz w:val="18"/>
          <w:szCs w:val="18"/>
        </w:rPr>
      </w:pPr>
      <w:r>
        <w:rPr>
          <w:i w:val="false"/>
          <w:iCs w:val="false"/>
          <w:color w:themeColor="text1" w:val="000000"/>
          <w:sz w:val="18"/>
          <w:szCs w:val="18"/>
        </w:rPr>
        <w:t xml:space="preserve">O recurso e o pedido de reconsideração terão efeito suspensivo do ato ou da decisão recorrida até que sobrevenha decisão final da autoridade competente. </w:t>
      </w:r>
    </w:p>
    <w:p>
      <w:pPr>
        <w:pStyle w:val="Nvel2-Red"/>
        <w:numPr>
          <w:ilvl w:val="1"/>
          <w:numId w:val="18"/>
        </w:numPr>
        <w:spacing w:lineRule="auto" w:line="240" w:before="0" w:after="0"/>
        <w:ind w:hanging="405" w:left="993"/>
        <w:rPr>
          <w:i w:val="false"/>
          <w:color w:themeColor="text1" w:val="000000"/>
          <w:sz w:val="18"/>
          <w:szCs w:val="18"/>
        </w:rPr>
      </w:pPr>
      <w:r>
        <w:rPr>
          <w:i w:val="false"/>
          <w:iCs w:val="false"/>
          <w:color w:themeColor="text1" w:val="000000"/>
          <w:sz w:val="18"/>
          <w:szCs w:val="18"/>
        </w:rPr>
        <w:t xml:space="preserve">O acolhimento do recurso invalida tão somente os atos insuscetíveis de aproveitamento. </w:t>
      </w:r>
    </w:p>
    <w:p>
      <w:pPr>
        <w:pStyle w:val="Nvel2-Red"/>
        <w:numPr>
          <w:ilvl w:val="1"/>
          <w:numId w:val="18"/>
        </w:numPr>
        <w:spacing w:lineRule="auto" w:line="240" w:before="0" w:after="0"/>
        <w:ind w:hanging="405" w:left="993"/>
        <w:rPr>
          <w:i w:val="false"/>
          <w:color w:themeColor="text1" w:val="000000"/>
          <w:sz w:val="18"/>
          <w:szCs w:val="18"/>
        </w:rPr>
      </w:pPr>
      <w:r>
        <w:rPr>
          <w:i w:val="false"/>
          <w:iCs w:val="false"/>
          <w:color w:themeColor="text1" w:val="000000"/>
          <w:sz w:val="18"/>
          <w:szCs w:val="18"/>
        </w:rPr>
        <w:t>Os autos do processo permanecerão à disposição dos interessados para consulta, observadas as disposições da Lei nº 12.527/2011 (Lei de Acesso à Informação), da Lei Geral de Proteção de Dados Pessoais – LGPD (Lei nº 13.709/2018) e demais normas aplicáveis, podendo ser acessados por meio do Portal da Transparência do Município e do sistema eletrônico utilizado para realização do certame, quando disponível.</w:t>
      </w:r>
    </w:p>
    <w:p>
      <w:pPr>
        <w:pStyle w:val="Nvel2-Red"/>
        <w:numPr>
          <w:ilvl w:val="1"/>
          <w:numId w:val="18"/>
        </w:numPr>
        <w:spacing w:lineRule="auto" w:line="240" w:before="0" w:after="0"/>
        <w:ind w:hanging="405" w:left="993"/>
        <w:rPr>
          <w:i w:val="false"/>
          <w:color w:themeColor="text1" w:val="000000"/>
          <w:sz w:val="18"/>
          <w:szCs w:val="18"/>
        </w:rPr>
      </w:pPr>
      <w:r>
        <w:rPr>
          <w:i w:val="false"/>
          <w:color w:themeColor="text1" w:val="000000"/>
          <w:sz w:val="18"/>
          <w:szCs w:val="18"/>
        </w:rPr>
        <w:t>A ausência de manifestação imediata da intenção de recorrer, nos casos em que a legislação assim exigir, importará na decadência desse direito, autorizando o prosseguimento do certame.</w:t>
      </w:r>
    </w:p>
    <w:p>
      <w:pPr>
        <w:pStyle w:val="Nvel2-Red"/>
        <w:numPr>
          <w:ilvl w:val="1"/>
          <w:numId w:val="18"/>
        </w:numPr>
        <w:spacing w:lineRule="auto" w:line="240" w:before="0" w:after="0"/>
        <w:ind w:hanging="405" w:left="993"/>
        <w:rPr>
          <w:i w:val="false"/>
          <w:color w:themeColor="text1" w:val="000000"/>
          <w:sz w:val="18"/>
          <w:szCs w:val="18"/>
        </w:rPr>
      </w:pPr>
      <w:r>
        <w:rPr>
          <w:i w:val="false"/>
          <w:color w:themeColor="text1" w:val="000000"/>
          <w:sz w:val="18"/>
          <w:szCs w:val="18"/>
        </w:rPr>
      </w:r>
    </w:p>
    <w:p>
      <w:pPr>
        <w:pStyle w:val="Nvel2-Red"/>
        <w:numPr>
          <w:ilvl w:val="0"/>
          <w:numId w:val="0"/>
        </w:numPr>
        <w:spacing w:lineRule="auto" w:line="240" w:before="0" w:after="0"/>
        <w:ind w:hanging="0" w:left="993"/>
        <w:rPr>
          <w:i w:val="false"/>
          <w:color w:themeColor="text1" w:val="000000"/>
          <w:sz w:val="18"/>
          <w:szCs w:val="18"/>
        </w:rPr>
      </w:pPr>
      <w:r>
        <w:rPr>
          <w:i w:val="false"/>
          <w:color w:themeColor="text1" w:val="000000"/>
          <w:sz w:val="18"/>
          <w:szCs w:val="18"/>
        </w:rPr>
      </w:r>
    </w:p>
    <w:p>
      <w:pPr>
        <w:pStyle w:val="Nvel2-Red"/>
        <w:numPr>
          <w:ilvl w:val="0"/>
          <w:numId w:val="18"/>
        </w:numPr>
        <w:spacing w:lineRule="auto" w:line="240" w:before="0" w:after="0"/>
        <w:ind w:hanging="432" w:left="999"/>
        <w:rPr>
          <w:b/>
          <w:i w:val="false"/>
          <w:color w:themeColor="text1" w:val="000000"/>
          <w:sz w:val="18"/>
          <w:szCs w:val="18"/>
        </w:rPr>
      </w:pPr>
      <w:bookmarkStart w:id="38" w:name="_Toc135469234"/>
      <w:r>
        <w:rPr>
          <w:b/>
          <w:bCs/>
          <w:i w:val="false"/>
          <w:iCs w:val="false"/>
          <w:color w:themeColor="text1" w:val="000000"/>
          <w:sz w:val="18"/>
          <w:szCs w:val="18"/>
        </w:rPr>
        <w:t>DAS INFRAÇÕES ADMINISTRATIVAS E SANÇÕES</w:t>
      </w:r>
      <w:bookmarkEnd w:id="38"/>
    </w:p>
    <w:p>
      <w:pPr>
        <w:pStyle w:val="Nvel2-Red"/>
        <w:numPr>
          <w:ilvl w:val="1"/>
          <w:numId w:val="18"/>
        </w:numPr>
        <w:spacing w:lineRule="auto" w:line="240" w:before="0" w:after="0"/>
        <w:ind w:hanging="405" w:left="1276"/>
        <w:rPr>
          <w:i w:val="false"/>
          <w:color w:themeColor="text1" w:val="000000"/>
          <w:sz w:val="18"/>
          <w:szCs w:val="18"/>
        </w:rPr>
      </w:pPr>
      <w:r>
        <w:rPr>
          <w:i w:val="false"/>
          <w:iCs w:val="false"/>
          <w:color w:themeColor="text1" w:val="000000"/>
          <w:sz w:val="18"/>
          <w:szCs w:val="18"/>
        </w:rPr>
        <w:t xml:space="preserve">Comete infração administrativa, nos termos da lei, o licitante que, com dolo ou culpa: </w:t>
      </w:r>
    </w:p>
    <w:p>
      <w:pPr>
        <w:pStyle w:val="Nvel2-Red"/>
        <w:numPr>
          <w:ilvl w:val="2"/>
          <w:numId w:val="18"/>
        </w:numPr>
        <w:spacing w:lineRule="auto" w:line="240" w:before="0" w:after="0"/>
        <w:ind w:hanging="432" w:left="1701"/>
        <w:rPr>
          <w:b/>
          <w:i w:val="false"/>
          <w:color w:themeColor="text1" w:val="000000"/>
          <w:sz w:val="18"/>
          <w:szCs w:val="18"/>
        </w:rPr>
      </w:pPr>
      <w:bookmarkStart w:id="39" w:name="_Hlk114652595"/>
      <w:bookmarkStart w:id="40" w:name="_Ref114668085"/>
      <w:r>
        <w:rPr>
          <w:i w:val="false"/>
          <w:iCs w:val="false"/>
          <w:color w:themeColor="text1" w:val="000000"/>
          <w:sz w:val="18"/>
          <w:szCs w:val="18"/>
        </w:rPr>
        <w:t>Deixar de apresentar a documentação exigida para o certame ou não entregar qualquer documento que tenha sido solicitado pelo/a pregoeiro/a durante o certame</w:t>
      </w:r>
      <w:bookmarkEnd w:id="40"/>
      <w:r>
        <w:rPr>
          <w:i w:val="false"/>
          <w:iCs w:val="false"/>
          <w:color w:themeColor="text1" w:val="000000"/>
          <w:sz w:val="18"/>
          <w:szCs w:val="18"/>
        </w:rPr>
        <w:t>, s</w:t>
      </w:r>
      <w:bookmarkStart w:id="41" w:name="_Ref114668108"/>
      <w:r>
        <w:rPr>
          <w:i w:val="false"/>
          <w:iCs w:val="false"/>
          <w:color w:themeColor="text1" w:val="000000"/>
          <w:sz w:val="18"/>
          <w:szCs w:val="18"/>
        </w:rPr>
        <w:t>alvo em decorrência de fato superveniente devidamente justificado, não mantiver a proposta em especial quando:</w:t>
      </w:r>
      <w:bookmarkEnd w:id="41"/>
    </w:p>
    <w:p>
      <w:pPr>
        <w:pStyle w:val="Nvel2-Red"/>
        <w:numPr>
          <w:ilvl w:val="3"/>
          <w:numId w:val="18"/>
        </w:numPr>
        <w:spacing w:lineRule="auto" w:line="240" w:before="0" w:after="0"/>
        <w:ind w:hanging="432" w:left="2268"/>
        <w:rPr>
          <w:i w:val="false"/>
          <w:color w:themeColor="text1" w:val="000000"/>
          <w:sz w:val="18"/>
          <w:szCs w:val="18"/>
        </w:rPr>
      </w:pPr>
      <w:r>
        <w:rPr>
          <w:i w:val="false"/>
          <w:iCs w:val="false"/>
          <w:color w:themeColor="text1" w:val="000000"/>
          <w:sz w:val="18"/>
          <w:szCs w:val="18"/>
        </w:rPr>
        <w:t xml:space="preserve">Não enviar a proposta adequada ao último lance ofertado ou após a negociação; </w:t>
      </w:r>
    </w:p>
    <w:p>
      <w:pPr>
        <w:pStyle w:val="Nvel2-Red"/>
        <w:numPr>
          <w:ilvl w:val="3"/>
          <w:numId w:val="18"/>
        </w:numPr>
        <w:spacing w:lineRule="auto" w:line="240" w:before="0" w:after="0"/>
        <w:ind w:hanging="432" w:left="2268"/>
        <w:rPr>
          <w:i w:val="false"/>
          <w:color w:themeColor="text1" w:val="000000"/>
          <w:sz w:val="18"/>
          <w:szCs w:val="18"/>
        </w:rPr>
      </w:pPr>
      <w:r>
        <w:rPr>
          <w:i w:val="false"/>
          <w:iCs w:val="false"/>
          <w:color w:themeColor="text1" w:val="000000"/>
          <w:sz w:val="18"/>
          <w:szCs w:val="18"/>
        </w:rPr>
        <w:t xml:space="preserve">Recusar-se a enviar o detalhamento da proposta quando exigível; </w:t>
      </w:r>
    </w:p>
    <w:p>
      <w:pPr>
        <w:pStyle w:val="Nvel2-Red"/>
        <w:numPr>
          <w:ilvl w:val="3"/>
          <w:numId w:val="18"/>
        </w:numPr>
        <w:spacing w:lineRule="auto" w:line="240" w:before="0" w:after="0"/>
        <w:ind w:hanging="432" w:left="2268"/>
        <w:rPr>
          <w:i w:val="false"/>
          <w:color w:themeColor="text1" w:val="000000"/>
          <w:sz w:val="18"/>
          <w:szCs w:val="18"/>
        </w:rPr>
      </w:pPr>
      <w:r>
        <w:rPr>
          <w:i w:val="false"/>
          <w:iCs w:val="false"/>
          <w:color w:themeColor="text1" w:val="000000"/>
          <w:sz w:val="18"/>
          <w:szCs w:val="18"/>
        </w:rPr>
        <w:t xml:space="preserve">Pedir para ser desclassificado quando encerrada a etapa competitiva; ou </w:t>
      </w:r>
    </w:p>
    <w:p>
      <w:pPr>
        <w:pStyle w:val="Nvel2-Red"/>
        <w:numPr>
          <w:ilvl w:val="3"/>
          <w:numId w:val="18"/>
        </w:numPr>
        <w:spacing w:lineRule="auto" w:line="240" w:before="0" w:after="0"/>
        <w:ind w:hanging="432" w:left="2268"/>
        <w:rPr>
          <w:i w:val="false"/>
          <w:color w:themeColor="text1" w:val="000000"/>
          <w:sz w:val="18"/>
          <w:szCs w:val="18"/>
        </w:rPr>
      </w:pPr>
      <w:r>
        <w:rPr>
          <w:i w:val="false"/>
          <w:iCs w:val="false"/>
          <w:color w:themeColor="text1" w:val="000000"/>
          <w:sz w:val="18"/>
          <w:szCs w:val="18"/>
        </w:rPr>
        <w:t xml:space="preserve">Apresentar proposta em desacordo com as exigências do Edital ou deixar de atender às especificações técnicas exigidas para o objeto; </w:t>
      </w:r>
    </w:p>
    <w:p>
      <w:pPr>
        <w:pStyle w:val="Nvel2-Red"/>
        <w:numPr>
          <w:ilvl w:val="2"/>
          <w:numId w:val="18"/>
        </w:numPr>
        <w:spacing w:lineRule="auto" w:line="240" w:before="0" w:after="0"/>
        <w:ind w:hanging="432" w:left="1701"/>
        <w:rPr>
          <w:b/>
          <w:i w:val="false"/>
          <w:color w:themeColor="text1" w:val="000000"/>
          <w:sz w:val="18"/>
          <w:szCs w:val="18"/>
        </w:rPr>
      </w:pPr>
      <w:bookmarkStart w:id="42" w:name="_Ref114668139"/>
      <w:r>
        <w:rPr>
          <w:i w:val="false"/>
          <w:iCs w:val="false"/>
          <w:color w:themeColor="text1" w:val="000000"/>
          <w:sz w:val="18"/>
          <w:szCs w:val="18"/>
        </w:rPr>
        <w:t>Não celebrar o contrato ou deixar de apresentar a documentação necessária para assinatura do contrato, inclusive aquela prevista no Termo de Referência como condição para início da execução;</w:t>
      </w:r>
      <w:bookmarkEnd w:id="42"/>
    </w:p>
    <w:p>
      <w:pPr>
        <w:pStyle w:val="Nvel2-Red"/>
        <w:numPr>
          <w:ilvl w:val="3"/>
          <w:numId w:val="18"/>
        </w:numPr>
        <w:spacing w:lineRule="auto" w:line="240" w:before="0" w:after="0"/>
        <w:ind w:hanging="432" w:left="2268"/>
        <w:rPr>
          <w:i w:val="false"/>
          <w:color w:themeColor="text1" w:val="000000"/>
          <w:sz w:val="18"/>
          <w:szCs w:val="18"/>
        </w:rPr>
      </w:pPr>
      <w:r>
        <w:rPr>
          <w:i w:val="false"/>
          <w:iCs w:val="false"/>
          <w:color w:themeColor="text1" w:val="000000"/>
          <w:sz w:val="18"/>
          <w:szCs w:val="18"/>
        </w:rPr>
        <w:t>Recusar-se, sem justificativa, a assinar o contrato ou aceitar o instrumento equivalente no prazo estabelecido pela Administração;</w:t>
      </w:r>
    </w:p>
    <w:p>
      <w:pPr>
        <w:pStyle w:val="Nvel2-Red"/>
        <w:numPr>
          <w:ilvl w:val="2"/>
          <w:numId w:val="18"/>
        </w:numPr>
        <w:spacing w:lineRule="auto" w:line="240" w:before="0" w:after="0"/>
        <w:ind w:hanging="432" w:left="1701"/>
        <w:rPr>
          <w:i w:val="false"/>
          <w:color w:themeColor="text1" w:val="000000"/>
          <w:sz w:val="18"/>
          <w:szCs w:val="18"/>
        </w:rPr>
      </w:pPr>
      <w:bookmarkStart w:id="43" w:name="_Ref114668249"/>
      <w:r>
        <w:rPr>
          <w:i w:val="false"/>
          <w:iCs w:val="false"/>
          <w:color w:themeColor="text1" w:val="000000"/>
          <w:sz w:val="18"/>
          <w:szCs w:val="18"/>
        </w:rPr>
        <w:t>Apresentar declaração ou documentação falsa exigida para o certame ou prestar declaração falsa durante a licitação</w:t>
      </w:r>
      <w:bookmarkEnd w:id="43"/>
      <w:r>
        <w:rPr>
          <w:i w:val="false"/>
          <w:iCs w:val="false"/>
          <w:color w:themeColor="text1" w:val="000000"/>
          <w:sz w:val="18"/>
          <w:szCs w:val="18"/>
        </w:rPr>
        <w:t>;</w:t>
      </w:r>
    </w:p>
    <w:p>
      <w:pPr>
        <w:pStyle w:val="Nvel2-Red"/>
        <w:numPr>
          <w:ilvl w:val="2"/>
          <w:numId w:val="18"/>
        </w:numPr>
        <w:spacing w:lineRule="auto" w:line="240" w:before="0" w:after="0"/>
        <w:ind w:hanging="432" w:left="1701"/>
        <w:rPr>
          <w:i w:val="false"/>
          <w:color w:themeColor="text1" w:val="000000"/>
          <w:sz w:val="18"/>
          <w:szCs w:val="18"/>
        </w:rPr>
      </w:pPr>
      <w:bookmarkStart w:id="44" w:name="_Ref114668245"/>
      <w:r>
        <w:rPr>
          <w:i w:val="false"/>
          <w:iCs w:val="false"/>
          <w:color w:themeColor="text1" w:val="000000"/>
          <w:sz w:val="18"/>
          <w:szCs w:val="18"/>
        </w:rPr>
        <w:t>Fraudar a licitação</w:t>
      </w:r>
      <w:bookmarkEnd w:id="44"/>
      <w:r>
        <w:rPr>
          <w:i w:val="false"/>
          <w:iCs w:val="false"/>
          <w:color w:themeColor="text1" w:val="000000"/>
          <w:sz w:val="18"/>
          <w:szCs w:val="18"/>
        </w:rPr>
        <w:t>,</w:t>
      </w:r>
    </w:p>
    <w:p>
      <w:pPr>
        <w:pStyle w:val="Nvel2-Red"/>
        <w:numPr>
          <w:ilvl w:val="2"/>
          <w:numId w:val="18"/>
        </w:numPr>
        <w:spacing w:lineRule="auto" w:line="240" w:before="0" w:after="0"/>
        <w:ind w:hanging="432" w:left="1701"/>
        <w:rPr>
          <w:b/>
          <w:i w:val="false"/>
          <w:color w:themeColor="text1" w:val="000000"/>
          <w:sz w:val="18"/>
          <w:szCs w:val="18"/>
        </w:rPr>
      </w:pPr>
      <w:bookmarkStart w:id="45" w:name="_Ref114668247"/>
      <w:r>
        <w:rPr>
          <w:i w:val="false"/>
          <w:iCs w:val="false"/>
          <w:color w:themeColor="text1" w:val="000000"/>
          <w:sz w:val="18"/>
          <w:szCs w:val="18"/>
        </w:rPr>
        <w:t>Comportar-se de modo inidôneo ou cometer fraude de qualquer natureza, em especial quando:</w:t>
      </w:r>
      <w:bookmarkEnd w:id="45"/>
    </w:p>
    <w:p>
      <w:pPr>
        <w:pStyle w:val="Nvel2-Red"/>
        <w:numPr>
          <w:ilvl w:val="3"/>
          <w:numId w:val="18"/>
        </w:numPr>
        <w:spacing w:lineRule="auto" w:line="240" w:before="0" w:after="0"/>
        <w:ind w:hanging="432" w:left="2268"/>
        <w:rPr>
          <w:i w:val="false"/>
          <w:color w:themeColor="text1" w:val="000000"/>
          <w:sz w:val="18"/>
          <w:szCs w:val="18"/>
        </w:rPr>
      </w:pPr>
      <w:r>
        <w:rPr>
          <w:i w:val="false"/>
          <w:iCs w:val="false"/>
          <w:color w:themeColor="text1" w:val="000000"/>
          <w:sz w:val="18"/>
          <w:szCs w:val="18"/>
        </w:rPr>
        <w:t xml:space="preserve">Agir em conluio ou em desconformidade com a lei; </w:t>
      </w:r>
    </w:p>
    <w:p>
      <w:pPr>
        <w:pStyle w:val="Nvel2-Red"/>
        <w:numPr>
          <w:ilvl w:val="3"/>
          <w:numId w:val="18"/>
        </w:numPr>
        <w:spacing w:lineRule="auto" w:line="240" w:before="0" w:after="0"/>
        <w:ind w:hanging="432" w:left="2268"/>
        <w:rPr>
          <w:i w:val="false"/>
          <w:color w:themeColor="text1" w:val="000000"/>
          <w:sz w:val="18"/>
          <w:szCs w:val="18"/>
        </w:rPr>
      </w:pPr>
      <w:r>
        <w:rPr>
          <w:i w:val="false"/>
          <w:iCs w:val="false"/>
          <w:color w:themeColor="text1" w:val="000000"/>
          <w:sz w:val="18"/>
          <w:szCs w:val="18"/>
        </w:rPr>
        <w:t xml:space="preserve">Induzir deliberadamente a erro no julgamento; </w:t>
      </w:r>
    </w:p>
    <w:p>
      <w:pPr>
        <w:pStyle w:val="Nvel2-Red"/>
        <w:numPr>
          <w:ilvl w:val="3"/>
          <w:numId w:val="18"/>
        </w:numPr>
        <w:spacing w:lineRule="auto" w:line="240" w:before="0" w:after="0"/>
        <w:ind w:hanging="432" w:left="2268"/>
        <w:rPr>
          <w:b/>
          <w:i w:val="false"/>
          <w:color w:themeColor="text1" w:val="000000"/>
          <w:sz w:val="18"/>
          <w:szCs w:val="18"/>
        </w:rPr>
      </w:pPr>
      <w:bookmarkStart w:id="46" w:name="_Ref114668251"/>
      <w:r>
        <w:rPr>
          <w:i w:val="false"/>
          <w:iCs w:val="false"/>
          <w:color w:themeColor="text1" w:val="000000"/>
          <w:sz w:val="18"/>
          <w:szCs w:val="18"/>
        </w:rPr>
        <w:t>Praticar atos ilícitos com vistas a frustrar os objetivos da licitação</w:t>
      </w:r>
      <w:bookmarkEnd w:id="46"/>
    </w:p>
    <w:p>
      <w:pPr>
        <w:pStyle w:val="Nvel2-Red"/>
        <w:numPr>
          <w:ilvl w:val="3"/>
          <w:numId w:val="18"/>
        </w:numPr>
        <w:spacing w:lineRule="auto" w:line="240" w:before="0" w:after="0"/>
        <w:ind w:hanging="432" w:left="2268"/>
        <w:rPr>
          <w:b/>
          <w:i w:val="false"/>
          <w:color w:themeColor="text1" w:val="000000"/>
          <w:sz w:val="18"/>
          <w:szCs w:val="18"/>
        </w:rPr>
      </w:pPr>
      <w:bookmarkStart w:id="47" w:name="_Ref114668252"/>
      <w:r>
        <w:rPr>
          <w:i w:val="false"/>
          <w:iCs w:val="false"/>
          <w:color w:themeColor="text1" w:val="000000"/>
          <w:sz w:val="18"/>
          <w:szCs w:val="18"/>
        </w:rPr>
        <w:t xml:space="preserve">Praticar ato lesivo previsto no </w:t>
      </w:r>
      <w:hyperlink r:id="rId24" w:tooltip="https://www.planalto.gov.br/ccivil_03/_ato2011-2014/2013/lei/l12846.htm#art5&quot; l &quot;art5">
        <w:r>
          <w:rPr>
            <w:rStyle w:val="Style"/>
            <w:i w:val="false"/>
            <w:iCs w:val="false"/>
            <w:color w:themeColor="text1" w:val="000000"/>
            <w:sz w:val="18"/>
            <w:szCs w:val="18"/>
          </w:rPr>
          <w:t>art. 5º da Lei n.º 12.846, de 2013</w:t>
        </w:r>
      </w:hyperlink>
      <w:r>
        <w:rPr>
          <w:i w:val="false"/>
          <w:iCs w:val="false"/>
          <w:color w:themeColor="text1" w:val="000000"/>
          <w:sz w:val="18"/>
          <w:szCs w:val="18"/>
        </w:rPr>
        <w:t>.</w:t>
      </w:r>
      <w:bookmarkEnd w:id="39"/>
      <w:bookmarkEnd w:id="47"/>
    </w:p>
    <w:p>
      <w:pPr>
        <w:pStyle w:val="Nvel2-Red"/>
        <w:numPr>
          <w:ilvl w:val="1"/>
          <w:numId w:val="18"/>
        </w:numPr>
        <w:spacing w:lineRule="auto" w:line="240" w:before="0" w:after="0"/>
        <w:ind w:hanging="405" w:left="1134"/>
        <w:rPr>
          <w:i w:val="false"/>
          <w:color w:themeColor="text1" w:val="000000"/>
          <w:sz w:val="18"/>
          <w:szCs w:val="18"/>
        </w:rPr>
      </w:pPr>
      <w:r>
        <w:rPr>
          <w:i w:val="false"/>
          <w:iCs w:val="false"/>
          <w:color w:themeColor="text1" w:val="000000"/>
          <w:sz w:val="18"/>
          <w:szCs w:val="18"/>
        </w:rPr>
        <w:t xml:space="preserve">Com fulcro na </w:t>
      </w:r>
      <w:hyperlink r:id="rId25" w:tooltip="http://www.planalto.gov.br/ccivil_03/_ato2019-2022/2021/lei/L14133.htm">
        <w:r>
          <w:rPr>
            <w:rStyle w:val="Style"/>
            <w:i w:val="false"/>
            <w:iCs w:val="false"/>
            <w:color w:themeColor="text1" w:val="000000"/>
            <w:sz w:val="18"/>
            <w:szCs w:val="18"/>
            <w:u w:val="single"/>
          </w:rPr>
          <w:t>Lei nº 14.133, de 2021</w:t>
        </w:r>
      </w:hyperlink>
      <w:r>
        <w:rPr>
          <w:i w:val="false"/>
          <w:iCs w:val="false"/>
          <w:color w:themeColor="text1" w:val="000000"/>
          <w:sz w:val="18"/>
          <w:szCs w:val="18"/>
        </w:rPr>
        <w:t xml:space="preserve">, a Administração poderá, garantida a prévia defesa, aplicar aos licitantes e/ou adjudicatários as seguintes sanções, sem prejuízo das responsabilidades civil e criminal: </w:t>
      </w:r>
    </w:p>
    <w:p>
      <w:pPr>
        <w:pStyle w:val="Nvel2-Red"/>
        <w:numPr>
          <w:ilvl w:val="2"/>
          <w:numId w:val="18"/>
        </w:numPr>
        <w:spacing w:lineRule="auto" w:line="240" w:before="0" w:after="0"/>
        <w:ind w:hanging="432" w:left="1701"/>
        <w:rPr>
          <w:i w:val="false"/>
          <w:color w:themeColor="text1" w:val="000000"/>
          <w:sz w:val="18"/>
          <w:szCs w:val="18"/>
        </w:rPr>
      </w:pPr>
      <w:r>
        <w:rPr>
          <w:i w:val="false"/>
          <w:iCs w:val="false"/>
          <w:color w:themeColor="text1" w:val="000000"/>
          <w:sz w:val="18"/>
          <w:szCs w:val="18"/>
        </w:rPr>
        <w:t>Advertência;</w:t>
      </w:r>
    </w:p>
    <w:p>
      <w:pPr>
        <w:pStyle w:val="Nvel2-Red"/>
        <w:numPr>
          <w:ilvl w:val="2"/>
          <w:numId w:val="18"/>
        </w:numPr>
        <w:spacing w:lineRule="auto" w:line="240" w:before="0" w:after="0"/>
        <w:ind w:hanging="432" w:left="1701"/>
        <w:rPr>
          <w:i w:val="false"/>
          <w:color w:themeColor="text1" w:val="000000"/>
          <w:sz w:val="18"/>
          <w:szCs w:val="18"/>
        </w:rPr>
      </w:pPr>
      <w:r>
        <w:rPr>
          <w:i w:val="false"/>
          <w:iCs w:val="false"/>
          <w:color w:themeColor="text1" w:val="000000"/>
          <w:sz w:val="18"/>
          <w:szCs w:val="18"/>
        </w:rPr>
        <w:t>Multa;</w:t>
      </w:r>
    </w:p>
    <w:p>
      <w:pPr>
        <w:pStyle w:val="Nvel2-Red"/>
        <w:numPr>
          <w:ilvl w:val="2"/>
          <w:numId w:val="18"/>
        </w:numPr>
        <w:spacing w:lineRule="auto" w:line="240" w:before="0" w:after="0"/>
        <w:ind w:hanging="432" w:left="1701"/>
        <w:rPr>
          <w:i w:val="false"/>
          <w:color w:themeColor="text1" w:val="000000"/>
          <w:sz w:val="18"/>
          <w:szCs w:val="18"/>
        </w:rPr>
      </w:pPr>
      <w:r>
        <w:rPr>
          <w:i w:val="false"/>
          <w:iCs w:val="false"/>
          <w:color w:themeColor="text1" w:val="000000"/>
          <w:sz w:val="18"/>
          <w:szCs w:val="18"/>
        </w:rPr>
        <w:t>Impedimento de licitar e contratar e</w:t>
      </w:r>
    </w:p>
    <w:p>
      <w:pPr>
        <w:pStyle w:val="Nvel2-Red"/>
        <w:numPr>
          <w:ilvl w:val="2"/>
          <w:numId w:val="18"/>
        </w:numPr>
        <w:spacing w:lineRule="auto" w:line="240" w:before="0" w:after="0"/>
        <w:ind w:hanging="432" w:left="1701"/>
        <w:rPr>
          <w:i w:val="false"/>
          <w:color w:themeColor="text1" w:val="000000"/>
          <w:sz w:val="18"/>
          <w:szCs w:val="18"/>
        </w:rPr>
      </w:pPr>
      <w:r>
        <w:rPr>
          <w:i w:val="false"/>
          <w:iCs w:val="false"/>
          <w:color w:themeColor="text1" w:val="000000"/>
          <w:sz w:val="18"/>
          <w:szCs w:val="18"/>
        </w:rPr>
        <w:t>Declaração de inidoneidade para licitar ou contratar, enquanto perdurarem os motivos determinantes da punição ou até que seja promovida sua reabilitação perante a própria autoridade que aplicou a penalidade</w:t>
      </w:r>
      <w:r>
        <w:rPr>
          <w:i w:val="false"/>
          <w:color w:themeColor="text1" w:val="000000"/>
          <w:sz w:val="18"/>
          <w:szCs w:val="18"/>
        </w:rPr>
        <w:t>.</w:t>
      </w:r>
    </w:p>
    <w:p>
      <w:pPr>
        <w:pStyle w:val="Nvel2-Red"/>
        <w:numPr>
          <w:ilvl w:val="2"/>
          <w:numId w:val="18"/>
        </w:numPr>
        <w:spacing w:lineRule="auto" w:line="240" w:before="0" w:after="0"/>
        <w:ind w:hanging="432" w:left="1701"/>
        <w:rPr>
          <w:i w:val="false"/>
          <w:color w:themeColor="text1" w:val="000000"/>
          <w:sz w:val="18"/>
          <w:szCs w:val="18"/>
        </w:rPr>
      </w:pPr>
      <w:r>
        <w:rPr>
          <w:i w:val="false"/>
          <w:color w:themeColor="text1" w:val="000000"/>
          <w:sz w:val="18"/>
          <w:szCs w:val="18"/>
        </w:rPr>
        <w:t xml:space="preserve">A aplicação das sanções administrativas previstas neste Edital observará, além do disposto na Lei Federal nº 14.133/2021, o procedimento estabelecido na </w:t>
      </w:r>
      <w:r>
        <w:rPr>
          <w:b/>
          <w:bCs/>
          <w:i w:val="false"/>
          <w:color w:themeColor="text1" w:val="000000"/>
          <w:sz w:val="18"/>
          <w:szCs w:val="18"/>
        </w:rPr>
        <w:t>Portaria Municipal nº 293/2026</w:t>
      </w:r>
      <w:r>
        <w:rPr>
          <w:i w:val="false"/>
          <w:color w:themeColor="text1" w:val="000000"/>
          <w:sz w:val="18"/>
          <w:szCs w:val="18"/>
        </w:rPr>
        <w:t>, ou outra que venha a substituí-la, garantindo-se o contraditório e a ampla defesa.</w:t>
      </w:r>
    </w:p>
    <w:p>
      <w:pPr>
        <w:pStyle w:val="Nvel2-Red"/>
        <w:numPr>
          <w:ilvl w:val="1"/>
          <w:numId w:val="18"/>
        </w:numPr>
        <w:spacing w:lineRule="auto" w:line="240" w:before="0" w:after="0"/>
        <w:ind w:hanging="405" w:left="1134"/>
        <w:rPr>
          <w:i w:val="false"/>
          <w:color w:themeColor="text1" w:val="000000"/>
          <w:sz w:val="18"/>
          <w:szCs w:val="18"/>
        </w:rPr>
      </w:pPr>
      <w:r>
        <w:rPr>
          <w:i w:val="false"/>
          <w:iCs w:val="false"/>
          <w:color w:themeColor="text1" w:val="000000"/>
          <w:sz w:val="18"/>
          <w:szCs w:val="18"/>
        </w:rPr>
        <w:t>Na aplicação das sanções serão considerados:</w:t>
      </w:r>
    </w:p>
    <w:p>
      <w:pPr>
        <w:pStyle w:val="Nvel2-Red"/>
        <w:numPr>
          <w:ilvl w:val="2"/>
          <w:numId w:val="18"/>
        </w:numPr>
        <w:spacing w:lineRule="auto" w:line="240" w:before="0" w:after="0"/>
        <w:ind w:hanging="432" w:left="1701"/>
        <w:rPr>
          <w:i w:val="false"/>
          <w:color w:themeColor="text1" w:val="000000"/>
          <w:sz w:val="18"/>
          <w:szCs w:val="18"/>
        </w:rPr>
      </w:pPr>
      <w:r>
        <w:rPr>
          <w:i w:val="false"/>
          <w:iCs w:val="false"/>
          <w:color w:themeColor="text1" w:val="000000"/>
          <w:sz w:val="18"/>
          <w:szCs w:val="18"/>
        </w:rPr>
        <w:t>A natureza e a gravidade da infração cometida.</w:t>
      </w:r>
    </w:p>
    <w:p>
      <w:pPr>
        <w:pStyle w:val="Nvel2-Red"/>
        <w:numPr>
          <w:ilvl w:val="2"/>
          <w:numId w:val="18"/>
        </w:numPr>
        <w:spacing w:lineRule="auto" w:line="240" w:before="0" w:after="0"/>
        <w:ind w:hanging="432" w:left="1701"/>
        <w:rPr>
          <w:i w:val="false"/>
          <w:color w:themeColor="text1" w:val="000000"/>
          <w:sz w:val="18"/>
          <w:szCs w:val="18"/>
        </w:rPr>
      </w:pPr>
      <w:r>
        <w:rPr>
          <w:i w:val="false"/>
          <w:iCs w:val="false"/>
          <w:color w:themeColor="text1" w:val="000000"/>
          <w:sz w:val="18"/>
          <w:szCs w:val="18"/>
        </w:rPr>
        <w:t>As peculiaridades do caso concreto</w:t>
      </w:r>
    </w:p>
    <w:p>
      <w:pPr>
        <w:pStyle w:val="Nvel2-Red"/>
        <w:numPr>
          <w:ilvl w:val="2"/>
          <w:numId w:val="18"/>
        </w:numPr>
        <w:spacing w:lineRule="auto" w:line="240" w:before="0" w:after="0"/>
        <w:ind w:hanging="432" w:left="1701"/>
        <w:rPr>
          <w:i w:val="false"/>
          <w:color w:themeColor="text1" w:val="000000"/>
          <w:sz w:val="18"/>
          <w:szCs w:val="18"/>
        </w:rPr>
      </w:pPr>
      <w:r>
        <w:rPr>
          <w:i w:val="false"/>
          <w:iCs w:val="false"/>
          <w:color w:themeColor="text1" w:val="000000"/>
          <w:sz w:val="18"/>
          <w:szCs w:val="18"/>
        </w:rPr>
        <w:t>As circunstâncias agravantes ou atenuantes</w:t>
      </w:r>
    </w:p>
    <w:p>
      <w:pPr>
        <w:pStyle w:val="Nvel2-Red"/>
        <w:numPr>
          <w:ilvl w:val="2"/>
          <w:numId w:val="18"/>
        </w:numPr>
        <w:spacing w:lineRule="auto" w:line="240" w:before="0" w:after="0"/>
        <w:ind w:hanging="432" w:left="1701"/>
        <w:rPr>
          <w:i w:val="false"/>
          <w:color w:themeColor="text1" w:val="000000"/>
          <w:sz w:val="18"/>
          <w:szCs w:val="18"/>
        </w:rPr>
      </w:pPr>
      <w:r>
        <w:rPr>
          <w:i w:val="false"/>
          <w:iCs w:val="false"/>
          <w:color w:themeColor="text1" w:val="000000"/>
          <w:sz w:val="18"/>
          <w:szCs w:val="18"/>
        </w:rPr>
        <w:t>Os danos que dela provierem para a Administração Pública</w:t>
      </w:r>
    </w:p>
    <w:p>
      <w:pPr>
        <w:pStyle w:val="Nvel2-Red"/>
        <w:numPr>
          <w:ilvl w:val="2"/>
          <w:numId w:val="18"/>
        </w:numPr>
        <w:spacing w:lineRule="auto" w:line="240" w:before="0" w:after="0"/>
        <w:ind w:hanging="432" w:left="1701"/>
        <w:rPr>
          <w:i w:val="false"/>
          <w:color w:themeColor="text1" w:val="000000"/>
          <w:sz w:val="18"/>
          <w:szCs w:val="18"/>
        </w:rPr>
      </w:pPr>
      <w:r>
        <w:rPr>
          <w:i w:val="false"/>
          <w:iCs w:val="false"/>
          <w:color w:themeColor="text1" w:val="000000"/>
          <w:sz w:val="18"/>
          <w:szCs w:val="18"/>
        </w:rPr>
        <w:t>A implantação ou o aperfeiçoamento de programa de integridade, conforme normas e orientações dos órgãos de controle.</w:t>
      </w:r>
    </w:p>
    <w:p>
      <w:pPr>
        <w:pStyle w:val="Nvel2-Red"/>
        <w:numPr>
          <w:ilvl w:val="2"/>
          <w:numId w:val="18"/>
        </w:numPr>
        <w:spacing w:lineRule="auto" w:line="240" w:before="0" w:after="0"/>
        <w:ind w:hanging="432" w:left="1701"/>
        <w:rPr>
          <w:i w:val="false"/>
          <w:color w:themeColor="text1" w:val="000000"/>
          <w:sz w:val="18"/>
          <w:szCs w:val="18"/>
        </w:rPr>
      </w:pPr>
      <w:r>
        <w:rPr>
          <w:i w:val="false"/>
          <w:color w:themeColor="text1" w:val="000000"/>
          <w:sz w:val="18"/>
          <w:szCs w:val="18"/>
        </w:rPr>
        <w:t xml:space="preserve">O processo administrativo destinado à apuração das infrações e à aplicação das sanções observará o rito estabelecido na </w:t>
      </w:r>
      <w:r>
        <w:rPr>
          <w:b/>
          <w:bCs/>
          <w:i w:val="false"/>
          <w:color w:themeColor="text1" w:val="000000"/>
          <w:sz w:val="18"/>
          <w:szCs w:val="18"/>
        </w:rPr>
        <w:t>Portaria Municipal nº 293/2026</w:t>
      </w:r>
      <w:r>
        <w:rPr>
          <w:i w:val="false"/>
          <w:color w:themeColor="text1" w:val="000000"/>
          <w:sz w:val="18"/>
          <w:szCs w:val="18"/>
        </w:rPr>
        <w:t>, sem prejuízo das disposições da Lei Federal nº 14.133/2021.</w:t>
      </w:r>
    </w:p>
    <w:p>
      <w:pPr>
        <w:pStyle w:val="Nvel2-Red"/>
        <w:numPr>
          <w:ilvl w:val="1"/>
          <w:numId w:val="18"/>
        </w:numPr>
        <w:spacing w:lineRule="auto" w:line="240" w:before="0" w:after="0"/>
        <w:ind w:hanging="405" w:left="1134"/>
        <w:rPr>
          <w:i w:val="false"/>
          <w:color w:themeColor="text1" w:val="000000"/>
          <w:sz w:val="18"/>
          <w:szCs w:val="18"/>
        </w:rPr>
      </w:pPr>
      <w:r>
        <w:rPr>
          <w:i w:val="false"/>
          <w:iCs w:val="false"/>
          <w:color w:themeColor="text1" w:val="000000"/>
          <w:sz w:val="18"/>
          <w:szCs w:val="18"/>
        </w:rPr>
        <w:t xml:space="preserve">A multa será recolhida em percentual de 20% incidente sobre o valor do contrato licitado, recolhida no prazo máximo de 05 (cinco) dias úteis, a contar da comunicação oficial. </w:t>
      </w:r>
    </w:p>
    <w:p>
      <w:pPr>
        <w:pStyle w:val="Nvel2-Red"/>
        <w:numPr>
          <w:ilvl w:val="2"/>
          <w:numId w:val="18"/>
        </w:numPr>
        <w:spacing w:lineRule="auto" w:line="240" w:before="0" w:after="0"/>
        <w:ind w:hanging="432" w:left="1560"/>
        <w:rPr>
          <w:b/>
          <w:i w:val="false"/>
          <w:color w:themeColor="text1" w:val="000000"/>
          <w:sz w:val="18"/>
          <w:szCs w:val="18"/>
        </w:rPr>
      </w:pPr>
      <w:bookmarkStart w:id="48" w:name="_Hlk113876035"/>
      <w:r>
        <w:rPr>
          <w:i w:val="false"/>
          <w:iCs w:val="false"/>
          <w:color w:themeColor="text1" w:val="000000"/>
          <w:sz w:val="18"/>
          <w:szCs w:val="18"/>
        </w:rPr>
        <w:t xml:space="preserve">Para as infrações previstas nos itens </w:t>
      </w:r>
      <w:r>
        <w:rPr>
          <w:i w:val="false"/>
          <w:iCs w:val="false"/>
          <w:color w:themeColor="text1" w:val="000000"/>
          <w:sz w:val="18"/>
          <w:szCs w:val="18"/>
        </w:rPr>
        <w:fldChar w:fldCharType="begin"/>
      </w:r>
      <w:r>
        <w:rPr>
          <w:i w:val="false"/>
          <w:iCs w:val="false"/>
          <w:color w:themeColor="text1" w:val="000000"/>
          <w:sz w:val="18"/>
          <w:szCs w:val="18"/>
        </w:rPr>
        <w:instrText xml:space="preserve"> REF _Ref114668108 \r \r \h </w:instrText>
      </w:r>
      <w:r>
        <w:rPr>
          <w:i w:val="false"/>
          <w:iCs w:val="false"/>
          <w:color w:themeColor="text1" w:val="000000"/>
          <w:sz w:val="18"/>
          <w:szCs w:val="18"/>
        </w:rPr>
        <w:fldChar w:fldCharType="separate"/>
      </w:r>
      <w:r>
        <w:rPr>
          <w:i w:val="false"/>
          <w:iCs w:val="false"/>
          <w:color w:themeColor="text1" w:val="000000"/>
          <w:sz w:val="18"/>
          <w:szCs w:val="18"/>
        </w:rPr>
        <w:t>10.1.1</w:t>
      </w:r>
      <w:r>
        <w:rPr>
          <w:i w:val="false"/>
          <w:iCs w:val="false"/>
          <w:color w:themeColor="text1" w:val="000000"/>
          <w:sz w:val="18"/>
          <w:szCs w:val="18"/>
        </w:rPr>
        <w:fldChar w:fldCharType="end"/>
      </w:r>
      <w:r>
        <w:rPr>
          <w:i w:val="false"/>
          <w:iCs w:val="false"/>
          <w:color w:themeColor="text1" w:val="000000"/>
          <w:sz w:val="18"/>
          <w:szCs w:val="18"/>
        </w:rPr>
        <w:t xml:space="preserve"> e </w:t>
      </w:r>
      <w:r>
        <w:rPr>
          <w:i w:val="false"/>
          <w:iCs w:val="false"/>
          <w:color w:themeColor="text1" w:val="000000"/>
          <w:sz w:val="18"/>
          <w:szCs w:val="18"/>
        </w:rPr>
        <w:fldChar w:fldCharType="begin"/>
      </w:r>
      <w:r>
        <w:rPr>
          <w:i w:val="false"/>
          <w:iCs w:val="false"/>
          <w:color w:themeColor="text1" w:val="000000"/>
          <w:sz w:val="18"/>
          <w:szCs w:val="18"/>
        </w:rPr>
        <w:instrText xml:space="preserve"> REF _Ref114668139 \r \r \h </w:instrText>
      </w:r>
      <w:r>
        <w:rPr>
          <w:i w:val="false"/>
          <w:iCs w:val="false"/>
          <w:color w:themeColor="text1" w:val="000000"/>
          <w:sz w:val="18"/>
          <w:szCs w:val="18"/>
        </w:rPr>
        <w:fldChar w:fldCharType="separate"/>
      </w:r>
      <w:r>
        <w:rPr>
          <w:i w:val="false"/>
          <w:iCs w:val="false"/>
          <w:color w:themeColor="text1" w:val="000000"/>
          <w:sz w:val="18"/>
          <w:szCs w:val="18"/>
        </w:rPr>
        <w:t>10.1.2</w:t>
      </w:r>
      <w:r>
        <w:rPr>
          <w:i w:val="false"/>
          <w:iCs w:val="false"/>
          <w:color w:themeColor="text1" w:val="000000"/>
          <w:sz w:val="18"/>
          <w:szCs w:val="18"/>
        </w:rPr>
        <w:fldChar w:fldCharType="end"/>
      </w:r>
      <w:r>
        <w:rPr>
          <w:i w:val="false"/>
          <w:iCs w:val="false"/>
          <w:color w:themeColor="text1" w:val="000000"/>
          <w:sz w:val="18"/>
          <w:szCs w:val="18"/>
        </w:rPr>
        <w:t>, a multa será de 15% do valor do contrato licitado.</w:t>
      </w:r>
      <w:bookmarkEnd w:id="48"/>
    </w:p>
    <w:p>
      <w:pPr>
        <w:pStyle w:val="Nvel2-Red"/>
        <w:numPr>
          <w:ilvl w:val="2"/>
          <w:numId w:val="18"/>
        </w:numPr>
        <w:spacing w:lineRule="auto" w:line="240" w:before="0" w:after="0"/>
        <w:ind w:hanging="432" w:left="1560"/>
        <w:rPr>
          <w:i w:val="false"/>
          <w:color w:themeColor="text1" w:val="000000"/>
          <w:sz w:val="18"/>
          <w:szCs w:val="18"/>
        </w:rPr>
      </w:pPr>
      <w:r>
        <w:rPr>
          <w:i w:val="false"/>
          <w:iCs w:val="false"/>
          <w:color w:themeColor="text1" w:val="000000"/>
          <w:sz w:val="18"/>
          <w:szCs w:val="18"/>
        </w:rPr>
        <w:t>Para as infrações previstas nos itens 10.1.3, 10.1.4, 10.1.5.1, 10.1.5.2, 10.1.5.3 e 10.1.5.4 , a multa será de 20% do valor do contrato licitado.</w:t>
      </w:r>
    </w:p>
    <w:p>
      <w:pPr>
        <w:pStyle w:val="Nvel2-Red"/>
        <w:numPr>
          <w:ilvl w:val="1"/>
          <w:numId w:val="18"/>
        </w:numPr>
        <w:spacing w:lineRule="auto" w:line="240" w:before="0" w:after="0"/>
        <w:ind w:hanging="405" w:left="1134"/>
        <w:rPr>
          <w:i w:val="false"/>
          <w:color w:themeColor="text1" w:val="000000"/>
          <w:sz w:val="18"/>
          <w:szCs w:val="18"/>
        </w:rPr>
      </w:pPr>
      <w:r>
        <w:rPr>
          <w:i w:val="false"/>
          <w:iCs w:val="false"/>
          <w:color w:themeColor="text1" w:val="000000"/>
          <w:sz w:val="18"/>
          <w:szCs w:val="18"/>
        </w:rPr>
        <w:t>As sanções de advertência, impedimento de licitar e contratar e declaração de inidoneidade para licitar ou contratar poderão ser aplicadas, cumulativamente ou não, à penalidade de multa</w:t>
      </w:r>
    </w:p>
    <w:p>
      <w:pPr>
        <w:pStyle w:val="Nvel2-Red"/>
        <w:numPr>
          <w:ilvl w:val="1"/>
          <w:numId w:val="18"/>
        </w:numPr>
        <w:spacing w:lineRule="auto" w:line="240" w:before="0" w:after="0"/>
        <w:ind w:hanging="405" w:left="1134"/>
        <w:rPr>
          <w:i w:val="false"/>
          <w:color w:themeColor="text1" w:val="000000"/>
          <w:sz w:val="18"/>
          <w:szCs w:val="18"/>
        </w:rPr>
      </w:pPr>
      <w:r>
        <w:rPr>
          <w:i w:val="false"/>
          <w:iCs w:val="false"/>
          <w:color w:themeColor="text1" w:val="000000"/>
          <w:sz w:val="18"/>
          <w:szCs w:val="18"/>
        </w:rPr>
        <w:t>Na aplicação da sanção de multa será facultada a defesa do interessado no prazo de 15 (quinze) dias úteis, contado da data de sua intimação.</w:t>
      </w:r>
    </w:p>
    <w:p>
      <w:pPr>
        <w:pStyle w:val="Nvel2-Red"/>
        <w:numPr>
          <w:ilvl w:val="1"/>
          <w:numId w:val="18"/>
        </w:numPr>
        <w:spacing w:lineRule="auto" w:line="240" w:before="0" w:after="0"/>
        <w:ind w:hanging="405" w:left="1134"/>
        <w:rPr>
          <w:i w:val="false"/>
          <w:color w:themeColor="text1" w:val="000000"/>
          <w:sz w:val="18"/>
          <w:szCs w:val="18"/>
        </w:rPr>
      </w:pPr>
      <w:r>
        <w:rPr>
          <w:i w:val="false"/>
          <w:iCs w:val="false"/>
          <w:color w:themeColor="text1" w:val="000000"/>
          <w:sz w:val="18"/>
          <w:szCs w:val="18"/>
        </w:rPr>
        <w:t xml:space="preserve">A sanção de impedimento de licitar e contratar será aplicada ao responsável em decorrência das infrações administrativas relacionadas nos itens </w:t>
      </w:r>
      <w:r>
        <w:rPr>
          <w:i w:val="false"/>
          <w:iCs w:val="false"/>
          <w:color w:themeColor="text1" w:val="000000"/>
          <w:sz w:val="18"/>
          <w:szCs w:val="18"/>
        </w:rPr>
        <w:fldChar w:fldCharType="begin"/>
      </w:r>
      <w:r>
        <w:rPr>
          <w:i w:val="false"/>
          <w:iCs w:val="false"/>
          <w:color w:themeColor="text1" w:val="000000"/>
          <w:sz w:val="18"/>
          <w:szCs w:val="18"/>
        </w:rPr>
        <w:instrText xml:space="preserve"> REF _Ref114668108 \r \r \h </w:instrText>
      </w:r>
      <w:r>
        <w:rPr>
          <w:i w:val="false"/>
          <w:iCs w:val="false"/>
          <w:color w:themeColor="text1" w:val="000000"/>
          <w:sz w:val="18"/>
          <w:szCs w:val="18"/>
        </w:rPr>
        <w:fldChar w:fldCharType="separate"/>
      </w:r>
      <w:r>
        <w:rPr>
          <w:i w:val="false"/>
          <w:iCs w:val="false"/>
          <w:color w:themeColor="text1" w:val="000000"/>
          <w:sz w:val="18"/>
          <w:szCs w:val="18"/>
        </w:rPr>
        <w:t>10.1.1</w:t>
      </w:r>
      <w:r>
        <w:rPr>
          <w:i w:val="false"/>
          <w:iCs w:val="false"/>
          <w:color w:themeColor="text1" w:val="000000"/>
          <w:sz w:val="18"/>
          <w:szCs w:val="18"/>
        </w:rPr>
        <w:fldChar w:fldCharType="end"/>
      </w:r>
      <w:r>
        <w:rPr>
          <w:i w:val="false"/>
          <w:iCs w:val="false"/>
          <w:color w:themeColor="text1" w:val="000000"/>
          <w:sz w:val="18"/>
          <w:szCs w:val="18"/>
        </w:rPr>
        <w:t xml:space="preserve"> e </w:t>
      </w:r>
      <w:r>
        <w:rPr>
          <w:i w:val="false"/>
          <w:iCs w:val="false"/>
          <w:color w:themeColor="text1" w:val="000000"/>
          <w:sz w:val="18"/>
          <w:szCs w:val="18"/>
        </w:rPr>
        <w:fldChar w:fldCharType="begin"/>
      </w:r>
      <w:r>
        <w:rPr>
          <w:i w:val="false"/>
          <w:iCs w:val="false"/>
          <w:color w:themeColor="text1" w:val="000000"/>
          <w:sz w:val="18"/>
          <w:szCs w:val="18"/>
        </w:rPr>
        <w:instrText xml:space="preserve"> REF _Ref114668139 \r \r \h </w:instrText>
      </w:r>
      <w:r>
        <w:rPr>
          <w:i w:val="false"/>
          <w:iCs w:val="false"/>
          <w:color w:themeColor="text1" w:val="000000"/>
          <w:sz w:val="18"/>
          <w:szCs w:val="18"/>
        </w:rPr>
        <w:fldChar w:fldCharType="separate"/>
      </w:r>
      <w:r>
        <w:rPr>
          <w:i w:val="false"/>
          <w:iCs w:val="false"/>
          <w:color w:themeColor="text1" w:val="000000"/>
          <w:sz w:val="18"/>
          <w:szCs w:val="18"/>
        </w:rPr>
        <w:t>10.1.2</w:t>
      </w:r>
      <w:r>
        <w:rPr>
          <w:i w:val="false"/>
          <w:iCs w:val="false"/>
          <w:color w:themeColor="text1" w:val="000000"/>
          <w:sz w:val="18"/>
          <w:szCs w:val="18"/>
        </w:rPr>
        <w:fldChar w:fldCharType="end"/>
      </w:r>
      <w:r>
        <w:rPr>
          <w:i w:val="false"/>
          <w:iCs w:val="false"/>
          <w:color w:themeColor="text1" w:val="000000"/>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vel2-Red"/>
        <w:numPr>
          <w:ilvl w:val="1"/>
          <w:numId w:val="18"/>
        </w:numPr>
        <w:spacing w:lineRule="auto" w:line="240" w:before="0" w:after="0"/>
        <w:ind w:hanging="405" w:left="1134"/>
        <w:rPr>
          <w:i w:val="false"/>
          <w:color w:themeColor="text1" w:val="000000"/>
          <w:sz w:val="18"/>
          <w:szCs w:val="18"/>
        </w:rPr>
      </w:pPr>
      <w:r>
        <w:rPr>
          <w:i w:val="false"/>
          <w:iCs w:val="false"/>
          <w:color w:themeColor="text1" w:val="000000"/>
          <w:sz w:val="18"/>
          <w:szCs w:val="18"/>
        </w:rPr>
        <w:t xml:space="preserve">Poderá ser aplicada ao responsável a sanção de declaração de inidoneidade para licitar ou contratar, em decorrência da prática das infrações dispostas nos itens 10.1.3, 10.1.4, 10.1.5.1, 10.1.5.2, 10.1.5.3 e 10.1.5.4, bem como pelas infrações administrativas previstas nos itens </w:t>
      </w:r>
      <w:r>
        <w:rPr>
          <w:i w:val="false"/>
          <w:iCs w:val="false"/>
          <w:color w:themeColor="text1" w:val="000000"/>
          <w:sz w:val="18"/>
          <w:szCs w:val="18"/>
        </w:rPr>
        <w:fldChar w:fldCharType="begin"/>
      </w:r>
      <w:r>
        <w:rPr>
          <w:i w:val="false"/>
          <w:iCs w:val="false"/>
          <w:color w:themeColor="text1" w:val="000000"/>
          <w:sz w:val="18"/>
          <w:szCs w:val="18"/>
        </w:rPr>
        <w:instrText xml:space="preserve"> REF _Ref114668108 \r \r \h </w:instrText>
      </w:r>
      <w:r>
        <w:rPr>
          <w:i w:val="false"/>
          <w:iCs w:val="false"/>
          <w:color w:themeColor="text1" w:val="000000"/>
          <w:sz w:val="18"/>
          <w:szCs w:val="18"/>
        </w:rPr>
        <w:fldChar w:fldCharType="separate"/>
      </w:r>
      <w:r>
        <w:rPr>
          <w:i w:val="false"/>
          <w:iCs w:val="false"/>
          <w:color w:themeColor="text1" w:val="000000"/>
          <w:sz w:val="18"/>
          <w:szCs w:val="18"/>
        </w:rPr>
        <w:t>10.1.1</w:t>
      </w:r>
      <w:r>
        <w:rPr>
          <w:i w:val="false"/>
          <w:iCs w:val="false"/>
          <w:color w:themeColor="text1" w:val="000000"/>
          <w:sz w:val="18"/>
          <w:szCs w:val="18"/>
        </w:rPr>
        <w:fldChar w:fldCharType="end"/>
      </w:r>
      <w:r>
        <w:rPr>
          <w:i w:val="false"/>
          <w:iCs w:val="false"/>
          <w:color w:themeColor="text1" w:val="000000"/>
          <w:sz w:val="18"/>
          <w:szCs w:val="18"/>
        </w:rPr>
        <w:t xml:space="preserve"> e </w:t>
      </w:r>
      <w:r>
        <w:rPr>
          <w:i w:val="false"/>
          <w:iCs w:val="false"/>
          <w:color w:themeColor="text1" w:val="000000"/>
          <w:sz w:val="18"/>
          <w:szCs w:val="18"/>
        </w:rPr>
        <w:fldChar w:fldCharType="begin"/>
      </w:r>
      <w:r>
        <w:rPr>
          <w:i w:val="false"/>
          <w:iCs w:val="false"/>
          <w:color w:themeColor="text1" w:val="000000"/>
          <w:sz w:val="18"/>
          <w:szCs w:val="18"/>
        </w:rPr>
        <w:instrText xml:space="preserve"> REF _Ref114668139 \r \r \h </w:instrText>
      </w:r>
      <w:r>
        <w:rPr>
          <w:i w:val="false"/>
          <w:iCs w:val="false"/>
          <w:color w:themeColor="text1" w:val="000000"/>
          <w:sz w:val="18"/>
          <w:szCs w:val="18"/>
        </w:rPr>
        <w:fldChar w:fldCharType="separate"/>
      </w:r>
      <w:r>
        <w:rPr>
          <w:i w:val="false"/>
          <w:iCs w:val="false"/>
          <w:color w:themeColor="text1" w:val="000000"/>
          <w:sz w:val="18"/>
          <w:szCs w:val="18"/>
        </w:rPr>
        <w:t>10.1.2</w:t>
      </w:r>
      <w:r>
        <w:rPr>
          <w:i w:val="false"/>
          <w:iCs w:val="false"/>
          <w:color w:themeColor="text1" w:val="000000"/>
          <w:sz w:val="18"/>
          <w:szCs w:val="18"/>
        </w:rPr>
        <w:fldChar w:fldCharType="end"/>
      </w:r>
      <w:r>
        <w:rPr>
          <w:i w:val="false"/>
          <w:iCs w:val="false"/>
          <w:color w:themeColor="text1" w:val="000000"/>
          <w:sz w:val="18"/>
          <w:szCs w:val="18"/>
        </w:rPr>
        <w:t xml:space="preserve"> que justifiquem a imposição de penalidade mais grave que a sanção de impedimento de licitar e contratar, cuja duração observará o prazo previsto no </w:t>
      </w:r>
      <w:hyperlink r:id="rId26" w:tooltip="http://www.planalto.gov.br/ccivil_03/_ato2019-2022/2021/lei/L14133.htm#art156§5&quot; l &quot;art156§5">
        <w:r>
          <w:rPr>
            <w:rStyle w:val="Style"/>
            <w:i w:val="false"/>
            <w:iCs w:val="false"/>
            <w:color w:themeColor="text1" w:val="000000"/>
            <w:sz w:val="18"/>
            <w:szCs w:val="18"/>
          </w:rPr>
          <w:t>art. 156, §5º, da Lei n.º 14.133/2021</w:t>
        </w:r>
      </w:hyperlink>
      <w:r>
        <w:rPr>
          <w:i w:val="false"/>
          <w:iCs w:val="false"/>
          <w:color w:themeColor="text1" w:val="000000"/>
          <w:sz w:val="18"/>
          <w:szCs w:val="18"/>
        </w:rPr>
        <w:t>.</w:t>
      </w:r>
    </w:p>
    <w:p>
      <w:pPr>
        <w:pStyle w:val="Nvel2-Red"/>
        <w:numPr>
          <w:ilvl w:val="1"/>
          <w:numId w:val="18"/>
        </w:numPr>
        <w:spacing w:lineRule="auto" w:line="240" w:before="0" w:after="0"/>
        <w:ind w:hanging="405" w:left="1134"/>
        <w:rPr>
          <w:i w:val="false"/>
          <w:color w:themeColor="text1" w:val="000000"/>
          <w:sz w:val="18"/>
          <w:szCs w:val="18"/>
        </w:rPr>
      </w:pPr>
      <w:r>
        <w:rPr>
          <w:i w:val="false"/>
          <w:iCs w:val="false"/>
          <w:color w:themeColor="text1" w:val="000000"/>
          <w:sz w:val="18"/>
          <w:szCs w:val="18"/>
        </w:rPr>
        <w:t xml:space="preserve">A recusa injustificada do adjudicatário em assinar o contrato, ou em aceitar ou retirar o instrumento equivalente no prazo estabelecido pela Administração, descrita no item </w:t>
      </w:r>
      <w:r>
        <w:rPr>
          <w:i w:val="false"/>
          <w:iCs w:val="false"/>
          <w:color w:themeColor="text1" w:val="000000"/>
          <w:sz w:val="18"/>
          <w:szCs w:val="18"/>
        </w:rPr>
        <w:fldChar w:fldCharType="begin"/>
      </w:r>
      <w:r>
        <w:rPr>
          <w:i w:val="false"/>
          <w:iCs w:val="false"/>
          <w:color w:themeColor="text1" w:val="000000"/>
          <w:sz w:val="18"/>
          <w:szCs w:val="18"/>
        </w:rPr>
        <w:instrText xml:space="preserve"> REF _Ref114668139 \r \r \h </w:instrText>
      </w:r>
      <w:r>
        <w:rPr>
          <w:i w:val="false"/>
          <w:iCs w:val="false"/>
          <w:color w:themeColor="text1" w:val="000000"/>
          <w:sz w:val="18"/>
          <w:szCs w:val="18"/>
        </w:rPr>
        <w:fldChar w:fldCharType="separate"/>
      </w:r>
      <w:r>
        <w:rPr>
          <w:i w:val="false"/>
          <w:iCs w:val="false"/>
          <w:color w:themeColor="text1" w:val="000000"/>
          <w:sz w:val="18"/>
          <w:szCs w:val="18"/>
        </w:rPr>
        <w:t>10.1.2</w:t>
      </w:r>
      <w:r>
        <w:rPr>
          <w:i w:val="false"/>
          <w:iCs w:val="false"/>
          <w:color w:themeColor="text1" w:val="000000"/>
          <w:sz w:val="18"/>
          <w:szCs w:val="18"/>
        </w:rPr>
        <w:fldChar w:fldCharType="end"/>
      </w:r>
      <w:r>
        <w:rPr>
          <w:i w:val="false"/>
          <w:iCs w:val="false"/>
          <w:color w:themeColor="text1" w:val="000000"/>
          <w:sz w:val="18"/>
          <w:szCs w:val="18"/>
        </w:rPr>
        <w:t>, caracterizará o descumprimento total da obrigação assumida e o sujeitará às penalidades e à imediata perda da garantia de proposta em favor do órgão ou entidade promotora da licitação.</w:t>
      </w:r>
    </w:p>
    <w:p>
      <w:pPr>
        <w:pStyle w:val="Nvel2-Red"/>
        <w:numPr>
          <w:ilvl w:val="1"/>
          <w:numId w:val="18"/>
        </w:numPr>
        <w:spacing w:lineRule="auto" w:line="240" w:before="0" w:after="0"/>
        <w:ind w:hanging="405" w:left="1134"/>
        <w:rPr>
          <w:i w:val="false"/>
          <w:color w:themeColor="text1" w:val="000000"/>
          <w:sz w:val="18"/>
          <w:szCs w:val="18"/>
        </w:rPr>
      </w:pPr>
      <w:r>
        <w:rPr>
          <w:i w:val="false"/>
          <w:iCs w:val="false"/>
          <w:color w:themeColor="text1" w:val="000000"/>
          <w:sz w:val="18"/>
          <w:szCs w:val="18"/>
        </w:rPr>
        <w:t xml:space="preserve">A apuração das infrações administrativas e a aplicação das sanções previstas neste Edital observarão o procedimento estabelecido na Lei Federal nº 14.133/2021 e na </w:t>
      </w:r>
      <w:r>
        <w:rPr>
          <w:b/>
          <w:bCs/>
          <w:i w:val="false"/>
          <w:iCs w:val="false"/>
          <w:color w:themeColor="text1" w:val="000000"/>
          <w:sz w:val="18"/>
          <w:szCs w:val="18"/>
        </w:rPr>
        <w:t>Portaria Municipal nº 293/2026</w:t>
      </w:r>
      <w:r>
        <w:rPr>
          <w:i w:val="false"/>
          <w:iCs w:val="false"/>
          <w:color w:themeColor="text1" w:val="000000"/>
          <w:sz w:val="18"/>
          <w:szCs w:val="18"/>
        </w:rPr>
        <w:t xml:space="preserve">, assegurados o contraditório, a ampla defesa e o devido processo legal. </w:t>
      </w:r>
    </w:p>
    <w:p>
      <w:pPr>
        <w:pStyle w:val="Nvel2-Red"/>
        <w:numPr>
          <w:ilvl w:val="1"/>
          <w:numId w:val="18"/>
        </w:numPr>
        <w:spacing w:lineRule="auto" w:line="240" w:before="0" w:after="0"/>
        <w:ind w:hanging="405" w:left="1134"/>
        <w:rPr>
          <w:i w:val="false"/>
          <w:color w:themeColor="text1" w:val="000000"/>
          <w:sz w:val="18"/>
          <w:szCs w:val="18"/>
        </w:rPr>
      </w:pPr>
      <w:r>
        <w:rPr>
          <w:i w:val="false"/>
          <w:iCs w:val="false"/>
          <w:color w:themeColor="text1" w:val="000000"/>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vel2-Red"/>
        <w:numPr>
          <w:ilvl w:val="1"/>
          <w:numId w:val="18"/>
        </w:numPr>
        <w:spacing w:lineRule="auto" w:line="240" w:before="0" w:after="0"/>
        <w:ind w:hanging="405" w:left="1134"/>
        <w:rPr>
          <w:i w:val="false"/>
          <w:color w:themeColor="text1" w:val="000000"/>
          <w:sz w:val="18"/>
          <w:szCs w:val="18"/>
        </w:rPr>
      </w:pPr>
      <w:r>
        <w:rPr>
          <w:i w:val="false"/>
          <w:iCs w:val="false"/>
          <w:color w:themeColor="text1" w:val="000000"/>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vel2-Red"/>
        <w:numPr>
          <w:ilvl w:val="1"/>
          <w:numId w:val="18"/>
        </w:numPr>
        <w:spacing w:lineRule="auto" w:line="240" w:before="0" w:after="0"/>
        <w:ind w:hanging="405" w:left="1134"/>
        <w:rPr>
          <w:i w:val="false"/>
          <w:color w:themeColor="text1" w:val="000000"/>
          <w:sz w:val="18"/>
          <w:szCs w:val="18"/>
        </w:rPr>
      </w:pPr>
      <w:r>
        <w:rPr>
          <w:i w:val="false"/>
          <w:iCs w:val="false"/>
          <w:color w:themeColor="text1" w:val="000000"/>
          <w:sz w:val="18"/>
          <w:szCs w:val="18"/>
        </w:rPr>
        <w:t>O recurso e o pedido de reconsideração terão efeito suspensivo do ato ou da decisão recorrida até que sobrevenha decisão final da autoridade competente.</w:t>
      </w:r>
    </w:p>
    <w:p>
      <w:pPr>
        <w:pStyle w:val="Nvel2-Red"/>
        <w:numPr>
          <w:ilvl w:val="1"/>
          <w:numId w:val="18"/>
        </w:numPr>
        <w:spacing w:lineRule="auto" w:line="240" w:before="0" w:after="0"/>
        <w:ind w:hanging="405" w:left="1134"/>
        <w:rPr>
          <w:sz w:val="18"/>
          <w:szCs w:val="18"/>
        </w:rPr>
      </w:pPr>
      <w:r>
        <w:rPr>
          <w:i w:val="false"/>
          <w:iCs w:val="false"/>
          <w:color w:themeColor="text1" w:val="000000"/>
          <w:sz w:val="18"/>
          <w:szCs w:val="18"/>
        </w:rPr>
        <w:t>A aplicação das sanções previstas neste Edital não exclui a obrigação de reparação integral dos danos eventualmente causados à Administração ou a terceiros, nem afasta a aplicação das demais medidas previstas na Lei Federal nº 14.133/2021, na Portaria Municipal nº 293/2026 e na legislação aplicável.</w:t>
      </w:r>
    </w:p>
    <w:p>
      <w:pPr>
        <w:pStyle w:val="Nvel2-Red"/>
        <w:numPr>
          <w:ilvl w:val="0"/>
          <w:numId w:val="0"/>
        </w:numPr>
        <w:spacing w:lineRule="auto" w:line="240" w:before="0" w:after="0"/>
        <w:ind w:hanging="0" w:left="0"/>
        <w:rPr>
          <w:sz w:val="18"/>
          <w:szCs w:val="18"/>
        </w:rPr>
      </w:pPr>
      <w:r>
        <w:rPr>
          <w:sz w:val="18"/>
          <w:szCs w:val="18"/>
        </w:rPr>
      </w:r>
    </w:p>
    <w:p>
      <w:pPr>
        <w:pStyle w:val="Nvel2-Red"/>
        <w:numPr>
          <w:ilvl w:val="0"/>
          <w:numId w:val="18"/>
        </w:numPr>
        <w:spacing w:lineRule="auto" w:line="240" w:before="0" w:after="0"/>
        <w:ind w:hanging="432" w:left="999"/>
        <w:rPr>
          <w:b/>
          <w:i w:val="false"/>
          <w:color w:themeColor="text1" w:val="000000"/>
          <w:sz w:val="18"/>
          <w:szCs w:val="18"/>
        </w:rPr>
      </w:pPr>
      <w:bookmarkStart w:id="49" w:name="_Toc135469235"/>
      <w:r>
        <w:rPr>
          <w:b/>
          <w:bCs/>
          <w:i w:val="false"/>
          <w:iCs w:val="false"/>
          <w:color w:themeColor="text1" w:val="000000"/>
          <w:sz w:val="18"/>
          <w:szCs w:val="18"/>
        </w:rPr>
        <w:t>DA IMPUGNAÇÃO AO EDITAL E DO PEDIDO DE ESCLARECIMENTO</w:t>
      </w:r>
      <w:bookmarkEnd w:id="49"/>
    </w:p>
    <w:p>
      <w:pPr>
        <w:pStyle w:val="Nvel2-Red"/>
        <w:numPr>
          <w:ilvl w:val="1"/>
          <w:numId w:val="18"/>
        </w:numPr>
        <w:spacing w:lineRule="auto" w:line="240" w:before="0" w:after="0"/>
        <w:ind w:hanging="405" w:left="1134"/>
        <w:rPr>
          <w:i w:val="false"/>
          <w:color w:themeColor="text1" w:val="000000"/>
          <w:sz w:val="18"/>
          <w:szCs w:val="18"/>
        </w:rPr>
      </w:pPr>
      <w:r>
        <w:rPr>
          <w:i w:val="false"/>
          <w:iCs w:val="false"/>
          <w:color w:themeColor="text1" w:val="000000"/>
          <w:sz w:val="18"/>
          <w:szCs w:val="18"/>
        </w:rPr>
        <w:t xml:space="preserve">Qualquer pessoa é parte legítima para impugnar este Edital por irregularidade na aplicação da </w:t>
      </w:r>
      <w:hyperlink r:id="rId27" w:tooltip="http://www.planalto.gov.br/ccivil_03/_ato2019-2022/2021/lei/L14133.htm">
        <w:r>
          <w:rPr>
            <w:rStyle w:val="Style"/>
            <w:i w:val="false"/>
            <w:iCs w:val="false"/>
            <w:color w:themeColor="text1" w:val="000000"/>
            <w:sz w:val="18"/>
            <w:szCs w:val="18"/>
          </w:rPr>
          <w:t>Lei nº 14.133, de 2021</w:t>
        </w:r>
      </w:hyperlink>
      <w:r>
        <w:rPr>
          <w:i w:val="false"/>
          <w:iCs w:val="false"/>
          <w:color w:themeColor="text1" w:val="000000"/>
          <w:sz w:val="18"/>
          <w:szCs w:val="18"/>
        </w:rPr>
        <w:t>, devendo protocolar o pedido até 3 (três) dias úteis antes da data da abertura do certame.</w:t>
      </w:r>
    </w:p>
    <w:p>
      <w:pPr>
        <w:pStyle w:val="Nvel2-Red"/>
        <w:numPr>
          <w:ilvl w:val="1"/>
          <w:numId w:val="18"/>
        </w:numPr>
        <w:spacing w:lineRule="auto" w:line="240" w:before="0" w:after="0"/>
        <w:ind w:hanging="405" w:left="1134"/>
        <w:rPr>
          <w:i w:val="false"/>
          <w:color w:themeColor="text1" w:val="000000"/>
          <w:sz w:val="18"/>
          <w:szCs w:val="18"/>
        </w:rPr>
      </w:pPr>
      <w:r>
        <w:rPr>
          <w:i w:val="false"/>
          <w:iCs w:val="false"/>
          <w:color w:themeColor="text1" w:val="000000"/>
          <w:sz w:val="18"/>
          <w:szCs w:val="18"/>
        </w:rPr>
        <w:t>A resposta à impugnação ou ao pedido de esclarecimento será divulgado em sítio eletrônico oficial no prazo de até 3 (três) dias úteis, limitado ao último dia útil anterior à data da abertura do certame.</w:t>
      </w:r>
    </w:p>
    <w:p>
      <w:pPr>
        <w:pStyle w:val="Nvel2-Red"/>
        <w:numPr>
          <w:ilvl w:val="1"/>
          <w:numId w:val="18"/>
        </w:numPr>
        <w:spacing w:lineRule="auto" w:line="240" w:before="0" w:after="0"/>
        <w:ind w:hanging="405" w:left="1134"/>
        <w:rPr>
          <w:i w:val="false"/>
          <w:color w:themeColor="text1" w:val="000000"/>
          <w:sz w:val="18"/>
          <w:szCs w:val="18"/>
        </w:rPr>
      </w:pPr>
      <w:r>
        <w:rPr>
          <w:i w:val="false"/>
          <w:iCs w:val="false"/>
          <w:color w:themeColor="text1" w:val="000000"/>
          <w:sz w:val="18"/>
          <w:szCs w:val="18"/>
        </w:rPr>
        <w:t xml:space="preserve">A impugnação e o pedido de esclarecimento deverão ser realizados </w:t>
      </w:r>
      <w:r>
        <w:rPr>
          <w:b/>
          <w:bCs/>
          <w:i w:val="false"/>
          <w:iCs w:val="false"/>
          <w:color w:themeColor="text1" w:val="000000"/>
          <w:sz w:val="18"/>
          <w:szCs w:val="18"/>
        </w:rPr>
        <w:t>EXCLUSIVAMENTE</w:t>
      </w:r>
      <w:r>
        <w:rPr>
          <w:i w:val="false"/>
          <w:iCs w:val="false"/>
          <w:color w:themeColor="text1" w:val="000000"/>
          <w:sz w:val="18"/>
          <w:szCs w:val="18"/>
        </w:rPr>
        <w:t xml:space="preserve"> por forma eletrônica, pelos seguintes meios: </w:t>
      </w:r>
      <w:hyperlink r:id="rId28">
        <w:r>
          <w:rPr>
            <w:rStyle w:val="Style"/>
            <w:i w:val="false"/>
            <w:iCs w:val="false"/>
            <w:color w:themeColor="text1" w:val="000000"/>
            <w:sz w:val="18"/>
            <w:szCs w:val="18"/>
            <w:u w:val="single"/>
          </w:rPr>
          <w:t>licita@santabarbaradosul.rs.gov.br</w:t>
        </w:r>
      </w:hyperlink>
      <w:r>
        <w:rPr>
          <w:i w:val="false"/>
          <w:iCs w:val="false"/>
          <w:color w:themeColor="text1" w:val="000000"/>
          <w:sz w:val="18"/>
          <w:szCs w:val="18"/>
        </w:rPr>
        <w:t xml:space="preserve"> ou </w:t>
      </w:r>
      <w:hyperlink r:id="rId29">
        <w:r>
          <w:rPr>
            <w:rStyle w:val="Style"/>
            <w:i w:val="false"/>
            <w:iCs w:val="false"/>
            <w:color w:themeColor="text1" w:val="000000"/>
            <w:sz w:val="18"/>
            <w:szCs w:val="18"/>
            <w:u w:val="single"/>
          </w:rPr>
          <w:t>https://pregaobanrisul.com.br/</w:t>
        </w:r>
      </w:hyperlink>
    </w:p>
    <w:p>
      <w:pPr>
        <w:pStyle w:val="Nvel2-Red"/>
        <w:numPr>
          <w:ilvl w:val="1"/>
          <w:numId w:val="18"/>
        </w:numPr>
        <w:spacing w:lineRule="auto" w:line="240" w:before="0" w:after="0"/>
        <w:ind w:hanging="405" w:left="1134"/>
        <w:rPr>
          <w:i w:val="false"/>
          <w:color w:themeColor="text1" w:val="000000"/>
          <w:sz w:val="18"/>
          <w:szCs w:val="18"/>
        </w:rPr>
      </w:pPr>
      <w:r>
        <w:rPr>
          <w:i w:val="false"/>
          <w:iCs w:val="false"/>
          <w:color w:themeColor="text1" w:val="000000"/>
          <w:sz w:val="18"/>
          <w:szCs w:val="18"/>
        </w:rPr>
        <w:t>As impugnações e pedidos de esclarecimentos não suspendem os prazos previstos no certame.</w:t>
      </w:r>
    </w:p>
    <w:p>
      <w:pPr>
        <w:pStyle w:val="Nvel2-Red"/>
        <w:numPr>
          <w:ilvl w:val="2"/>
          <w:numId w:val="18"/>
        </w:numPr>
        <w:spacing w:lineRule="auto" w:line="240" w:before="0" w:after="0"/>
        <w:ind w:hanging="432" w:left="1560"/>
        <w:rPr>
          <w:i w:val="false"/>
          <w:color w:themeColor="text1" w:val="000000"/>
          <w:sz w:val="18"/>
          <w:szCs w:val="18"/>
        </w:rPr>
      </w:pPr>
      <w:r>
        <w:rPr>
          <w:i w:val="false"/>
          <w:iCs w:val="false"/>
          <w:color w:themeColor="text1" w:val="000000"/>
          <w:sz w:val="18"/>
          <w:szCs w:val="18"/>
        </w:rPr>
        <w:t>A concessão de efeito suspensivo à impugnação é medida excepcional e deverá ser motivada pelo agente de contratação, nos autos do processo de licitação.</w:t>
      </w:r>
    </w:p>
    <w:p>
      <w:pPr>
        <w:pStyle w:val="Nvel2-Red"/>
        <w:numPr>
          <w:ilvl w:val="1"/>
          <w:numId w:val="18"/>
        </w:numPr>
        <w:spacing w:lineRule="auto" w:line="240" w:before="0" w:after="0"/>
        <w:ind w:hanging="405" w:left="1134"/>
        <w:rPr>
          <w:i w:val="false"/>
          <w:color w:themeColor="text1" w:val="000000"/>
          <w:sz w:val="18"/>
          <w:szCs w:val="18"/>
        </w:rPr>
      </w:pPr>
      <w:r>
        <w:rPr>
          <w:i w:val="false"/>
          <w:iCs w:val="false"/>
          <w:color w:themeColor="text1" w:val="000000"/>
          <w:sz w:val="18"/>
          <w:szCs w:val="18"/>
        </w:rPr>
        <w:t>Acolhida a impugnação, será definida e publicada nova data para a realização do certame.</w:t>
      </w:r>
    </w:p>
    <w:p>
      <w:pPr>
        <w:pStyle w:val="Nvel2-Red"/>
        <w:numPr>
          <w:ilvl w:val="0"/>
          <w:numId w:val="0"/>
        </w:numPr>
        <w:spacing w:lineRule="auto" w:line="240" w:before="0" w:after="0"/>
        <w:ind w:hanging="0" w:left="0"/>
        <w:rPr>
          <w:b/>
          <w:i w:val="false"/>
          <w:color w:themeColor="text1" w:val="000000"/>
          <w:sz w:val="18"/>
          <w:szCs w:val="18"/>
        </w:rPr>
      </w:pPr>
      <w:r>
        <w:rPr>
          <w:b/>
          <w:i w:val="false"/>
          <w:color w:themeColor="text1" w:val="000000"/>
          <w:sz w:val="18"/>
          <w:szCs w:val="18"/>
        </w:rPr>
      </w:r>
    </w:p>
    <w:p>
      <w:pPr>
        <w:pStyle w:val="Nvel2-Red"/>
        <w:numPr>
          <w:ilvl w:val="0"/>
          <w:numId w:val="18"/>
        </w:numPr>
        <w:spacing w:lineRule="auto" w:line="240" w:before="0" w:after="0"/>
        <w:ind w:hanging="432" w:left="999"/>
        <w:rPr>
          <w:b/>
          <w:i w:val="false"/>
          <w:color w:themeColor="text1" w:val="000000"/>
          <w:sz w:val="18"/>
          <w:szCs w:val="18"/>
        </w:rPr>
      </w:pPr>
      <w:bookmarkStart w:id="50" w:name="_Toc135469236"/>
      <w:r>
        <w:rPr>
          <w:b/>
          <w:bCs/>
          <w:i w:val="false"/>
          <w:iCs w:val="false"/>
          <w:color w:themeColor="text1" w:val="000000"/>
          <w:sz w:val="18"/>
          <w:szCs w:val="18"/>
        </w:rPr>
        <w:t>DAS DISPOSIÇÕES GERAIS</w:t>
      </w:r>
      <w:bookmarkEnd w:id="50"/>
    </w:p>
    <w:p>
      <w:pPr>
        <w:pStyle w:val="Nvel2-Red"/>
        <w:numPr>
          <w:ilvl w:val="1"/>
          <w:numId w:val="18"/>
        </w:numPr>
        <w:spacing w:lineRule="auto" w:line="240" w:before="0" w:after="0"/>
        <w:ind w:hanging="405" w:left="993"/>
        <w:rPr>
          <w:i w:val="false"/>
          <w:color w:themeColor="text1" w:val="000000"/>
          <w:sz w:val="18"/>
          <w:szCs w:val="18"/>
        </w:rPr>
      </w:pPr>
      <w:r>
        <w:rPr>
          <w:i w:val="false"/>
          <w:iCs w:val="false"/>
          <w:color w:themeColor="text1" w:val="000000"/>
          <w:sz w:val="18"/>
          <w:szCs w:val="18"/>
        </w:rPr>
        <w:t>Será divulgada ata da sessão pública no sistema eletrônico.</w:t>
      </w:r>
    </w:p>
    <w:p>
      <w:pPr>
        <w:pStyle w:val="Nvel2-Red"/>
        <w:numPr>
          <w:ilvl w:val="1"/>
          <w:numId w:val="18"/>
        </w:numPr>
        <w:spacing w:lineRule="auto" w:line="240" w:before="0" w:after="0"/>
        <w:ind w:hanging="405" w:left="993"/>
        <w:rPr>
          <w:i w:val="false"/>
          <w:color w:themeColor="text1" w:val="000000"/>
          <w:sz w:val="18"/>
          <w:szCs w:val="18"/>
        </w:rPr>
      </w:pPr>
      <w:r>
        <w:rPr>
          <w:i w:val="false"/>
          <w:iCs w:val="false"/>
          <w:color w:themeColor="text1" w:val="000000"/>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Nvel2-Red"/>
        <w:numPr>
          <w:ilvl w:val="1"/>
          <w:numId w:val="18"/>
        </w:numPr>
        <w:spacing w:lineRule="auto" w:line="240" w:before="0" w:after="0"/>
        <w:ind w:hanging="405" w:left="993"/>
        <w:rPr>
          <w:i w:val="false"/>
          <w:color w:themeColor="text1" w:val="000000"/>
          <w:sz w:val="18"/>
          <w:szCs w:val="18"/>
        </w:rPr>
      </w:pPr>
      <w:r>
        <w:rPr>
          <w:i w:val="false"/>
          <w:iCs w:val="false"/>
          <w:color w:themeColor="text1" w:val="000000"/>
          <w:sz w:val="18"/>
          <w:szCs w:val="18"/>
        </w:rPr>
        <w:t>Todas as referências de tempo no Edital, no aviso e durante a sessão pública observarão o horário de Brasília/ DF.</w:t>
      </w:r>
    </w:p>
    <w:p>
      <w:pPr>
        <w:pStyle w:val="Nvel2-Red"/>
        <w:numPr>
          <w:ilvl w:val="1"/>
          <w:numId w:val="18"/>
        </w:numPr>
        <w:spacing w:lineRule="auto" w:line="240" w:before="0" w:after="0"/>
        <w:ind w:hanging="405" w:left="993"/>
        <w:rPr>
          <w:i w:val="false"/>
          <w:color w:themeColor="text1" w:val="000000"/>
          <w:sz w:val="18"/>
          <w:szCs w:val="18"/>
        </w:rPr>
      </w:pPr>
      <w:r>
        <w:rPr>
          <w:i w:val="false"/>
          <w:iCs w:val="false"/>
          <w:color w:themeColor="text1" w:val="000000"/>
          <w:sz w:val="18"/>
          <w:szCs w:val="18"/>
        </w:rPr>
        <w:t>A homologação do resultado desta licitação não implicará direito à contratação.</w:t>
      </w:r>
    </w:p>
    <w:p>
      <w:pPr>
        <w:pStyle w:val="Nvel2-Red"/>
        <w:numPr>
          <w:ilvl w:val="1"/>
          <w:numId w:val="18"/>
        </w:numPr>
        <w:spacing w:lineRule="auto" w:line="240" w:before="0" w:after="0"/>
        <w:ind w:hanging="405" w:left="993"/>
        <w:rPr>
          <w:i w:val="false"/>
          <w:color w:themeColor="text1" w:val="000000"/>
          <w:sz w:val="18"/>
          <w:szCs w:val="18"/>
        </w:rPr>
      </w:pPr>
      <w:r>
        <w:rPr>
          <w:i w:val="false"/>
          <w:iCs w:val="false"/>
          <w:color w:themeColor="text1" w:val="000000"/>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pPr>
        <w:pStyle w:val="Nvel2-Red"/>
        <w:numPr>
          <w:ilvl w:val="1"/>
          <w:numId w:val="18"/>
        </w:numPr>
        <w:spacing w:lineRule="auto" w:line="240" w:before="0" w:after="0"/>
        <w:ind w:hanging="405" w:left="993"/>
        <w:rPr>
          <w:i w:val="false"/>
          <w:color w:themeColor="text1" w:val="000000"/>
          <w:sz w:val="18"/>
          <w:szCs w:val="18"/>
        </w:rPr>
      </w:pPr>
      <w:r>
        <w:rPr>
          <w:i w:val="false"/>
          <w:iCs w:val="false"/>
          <w:color w:themeColor="text1" w:val="000000"/>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pPr>
        <w:pStyle w:val="Nvel2-Red"/>
        <w:numPr>
          <w:ilvl w:val="1"/>
          <w:numId w:val="18"/>
        </w:numPr>
        <w:spacing w:lineRule="auto" w:line="240" w:before="0" w:after="0"/>
        <w:ind w:hanging="405" w:left="993"/>
        <w:rPr>
          <w:i w:val="false"/>
          <w:color w:themeColor="text1" w:val="000000"/>
          <w:sz w:val="18"/>
          <w:szCs w:val="18"/>
        </w:rPr>
      </w:pPr>
      <w:r>
        <w:rPr>
          <w:i w:val="false"/>
          <w:iCs w:val="false"/>
          <w:color w:themeColor="text1" w:val="000000"/>
          <w:sz w:val="18"/>
          <w:szCs w:val="18"/>
        </w:rPr>
        <w:t>Na contagem dos prazos estabelecidos neste Edital e seus Anexos, excluir-se-á o dia do início e incluir-se-á o do vencimento. Só se iniciam e vencem os prazos em dias de expediente na Administração.</w:t>
      </w:r>
    </w:p>
    <w:p>
      <w:pPr>
        <w:pStyle w:val="Nvel2-Red"/>
        <w:numPr>
          <w:ilvl w:val="1"/>
          <w:numId w:val="18"/>
        </w:numPr>
        <w:spacing w:lineRule="auto" w:line="240" w:before="0" w:after="0"/>
        <w:ind w:hanging="405" w:left="993"/>
        <w:rPr>
          <w:i w:val="false"/>
          <w:color w:themeColor="text1" w:val="000000"/>
          <w:sz w:val="18"/>
          <w:szCs w:val="18"/>
        </w:rPr>
      </w:pPr>
      <w:r>
        <w:rPr>
          <w:i w:val="false"/>
          <w:iCs w:val="false"/>
          <w:color w:themeColor="text1" w:val="000000"/>
          <w:sz w:val="18"/>
          <w:szCs w:val="18"/>
        </w:rPr>
        <w:t>O desatendimento de exigências formais não essenciais não importará o afastamento do licitante, desde que seja possível o aproveitamento do ato, observados os princípios da isonomia e do interesse público.</w:t>
      </w:r>
    </w:p>
    <w:p>
      <w:pPr>
        <w:pStyle w:val="Nvel2-Red"/>
        <w:numPr>
          <w:ilvl w:val="1"/>
          <w:numId w:val="18"/>
        </w:numPr>
        <w:spacing w:lineRule="auto" w:line="240" w:before="0" w:after="0"/>
        <w:ind w:hanging="405" w:left="993"/>
        <w:rPr>
          <w:i w:val="false"/>
          <w:color w:themeColor="text1" w:val="000000"/>
          <w:sz w:val="18"/>
          <w:szCs w:val="18"/>
        </w:rPr>
      </w:pPr>
      <w:r>
        <w:rPr>
          <w:i w:val="false"/>
          <w:iCs w:val="false"/>
          <w:color w:themeColor="text1" w:val="000000"/>
          <w:sz w:val="18"/>
          <w:szCs w:val="18"/>
        </w:rPr>
        <w:t>Em caso de divergência entre disposições deste Edital e de seus anexos ou demais peças que compõem o processo, prevalecerá as deste Edital.</w:t>
      </w:r>
    </w:p>
    <w:p>
      <w:pPr>
        <w:pStyle w:val="Nvel2-Red"/>
        <w:numPr>
          <w:ilvl w:val="1"/>
          <w:numId w:val="18"/>
        </w:numPr>
        <w:spacing w:lineRule="auto" w:line="240" w:before="0" w:after="0"/>
        <w:ind w:hanging="454" w:left="1020"/>
        <w:rPr>
          <w:i w:val="false"/>
          <w:color w:themeColor="text1" w:val="000000"/>
          <w:sz w:val="18"/>
          <w:szCs w:val="18"/>
        </w:rPr>
      </w:pPr>
      <w:r>
        <w:rPr>
          <w:i w:val="false"/>
          <w:iCs w:val="false"/>
          <w:color w:themeColor="text1" w:val="000000"/>
          <w:sz w:val="18"/>
          <w:szCs w:val="18"/>
        </w:rPr>
        <w:t xml:space="preserve"> </w:t>
      </w:r>
      <w:r>
        <w:rPr>
          <w:i w:val="false"/>
          <w:iCs w:val="false"/>
          <w:color w:themeColor="text1" w:val="000000"/>
          <w:sz w:val="18"/>
          <w:szCs w:val="18"/>
        </w:rPr>
        <w:t xml:space="preserve">O Edital e seus anexos estão disponíveis, na íntegra, no Portal Nacional de Contratações Públicas (PNCP) e endereço eletrônico </w:t>
      </w:r>
      <w:hyperlink r:id="rId30" w:tooltip="http://www.santabarbaradosul.rs.gov.br">
        <w:r>
          <w:rPr>
            <w:rStyle w:val="Style"/>
            <w:i w:val="false"/>
            <w:iCs w:val="false"/>
            <w:color w:themeColor="text1" w:val="000000"/>
            <w:sz w:val="18"/>
            <w:szCs w:val="18"/>
            <w:u w:val="single"/>
          </w:rPr>
          <w:t>www.santabarbaradosul.rs.gov.br</w:t>
        </w:r>
      </w:hyperlink>
      <w:r>
        <w:rPr>
          <w:i w:val="false"/>
          <w:iCs w:val="false"/>
          <w:color w:themeColor="text1" w:val="000000"/>
          <w:sz w:val="18"/>
          <w:szCs w:val="18"/>
        </w:rPr>
        <w:t>.</w:t>
      </w:r>
    </w:p>
    <w:p>
      <w:pPr>
        <w:pStyle w:val="Nvel2-Red"/>
        <w:numPr>
          <w:ilvl w:val="1"/>
          <w:numId w:val="18"/>
        </w:numPr>
        <w:spacing w:lineRule="auto" w:line="240" w:before="0" w:after="0"/>
        <w:ind w:hanging="454" w:left="1020"/>
        <w:rPr>
          <w:i w:val="false"/>
          <w:color w:themeColor="text1" w:val="000000"/>
          <w:sz w:val="18"/>
          <w:szCs w:val="18"/>
        </w:rPr>
      </w:pPr>
      <w:r>
        <w:rPr>
          <w:i w:val="false"/>
          <w:iCs w:val="false"/>
          <w:color w:themeColor="text1" w:val="000000"/>
          <w:sz w:val="18"/>
          <w:szCs w:val="18"/>
        </w:rPr>
        <w:t>Integram este Edital, para todos os fins e efeitos, os seguintes anexos:</w:t>
      </w:r>
    </w:p>
    <w:p>
      <w:pPr>
        <w:pStyle w:val="Nvel2-Red"/>
        <w:numPr>
          <w:ilvl w:val="2"/>
          <w:numId w:val="18"/>
        </w:numPr>
        <w:spacing w:lineRule="auto" w:line="240" w:before="0" w:after="0"/>
        <w:ind w:hanging="432" w:left="999"/>
        <w:rPr>
          <w:i w:val="false"/>
          <w:color w:themeColor="text1" w:val="000000"/>
          <w:sz w:val="18"/>
          <w:szCs w:val="18"/>
        </w:rPr>
      </w:pPr>
      <w:r>
        <w:rPr>
          <w:i w:val="false"/>
          <w:iCs w:val="false"/>
          <w:color w:themeColor="text1" w:val="000000"/>
          <w:sz w:val="18"/>
          <w:szCs w:val="18"/>
        </w:rPr>
        <w:t>ANEXO I - Termo de Referência.</w:t>
      </w:r>
    </w:p>
    <w:p>
      <w:pPr>
        <w:pStyle w:val="Nvel2-Red"/>
        <w:numPr>
          <w:ilvl w:val="2"/>
          <w:numId w:val="18"/>
        </w:numPr>
        <w:spacing w:lineRule="auto" w:line="240" w:before="0" w:after="0"/>
        <w:ind w:hanging="432" w:left="999"/>
        <w:rPr>
          <w:i w:val="false"/>
          <w:color w:themeColor="text1" w:val="000000"/>
          <w:sz w:val="18"/>
          <w:szCs w:val="18"/>
        </w:rPr>
      </w:pPr>
      <w:r>
        <w:rPr>
          <w:i w:val="false"/>
          <w:iCs w:val="false"/>
          <w:color w:themeColor="text1" w:val="000000"/>
          <w:sz w:val="18"/>
          <w:szCs w:val="18"/>
        </w:rPr>
        <w:t>Apêndice do Anexo I – Estudo Técnico Preliminar.</w:t>
      </w:r>
    </w:p>
    <w:p>
      <w:pPr>
        <w:pStyle w:val="Nvel2-Red"/>
        <w:numPr>
          <w:ilvl w:val="2"/>
          <w:numId w:val="18"/>
        </w:numPr>
        <w:spacing w:lineRule="auto" w:line="240" w:before="0" w:after="0"/>
        <w:ind w:hanging="432" w:left="999"/>
        <w:rPr>
          <w:i w:val="false"/>
          <w:color w:themeColor="text1" w:val="000000"/>
          <w:sz w:val="18"/>
          <w:szCs w:val="18"/>
        </w:rPr>
      </w:pPr>
      <w:r>
        <w:rPr>
          <w:i w:val="false"/>
          <w:iCs w:val="false"/>
          <w:color w:themeColor="text1" w:val="000000"/>
          <w:sz w:val="18"/>
          <w:szCs w:val="18"/>
        </w:rPr>
        <w:t>ANEXO II – Modelo Proposta</w:t>
      </w:r>
    </w:p>
    <w:p>
      <w:pPr>
        <w:pStyle w:val="Nvel2-Red"/>
        <w:numPr>
          <w:ilvl w:val="2"/>
          <w:numId w:val="18"/>
        </w:numPr>
        <w:spacing w:lineRule="auto" w:line="240" w:before="0" w:after="0"/>
        <w:ind w:hanging="432" w:left="999"/>
        <w:rPr>
          <w:i w:val="false"/>
          <w:color w:themeColor="text1" w:val="000000"/>
          <w:sz w:val="18"/>
          <w:szCs w:val="18"/>
        </w:rPr>
      </w:pPr>
      <w:r>
        <w:rPr>
          <w:i w:val="false"/>
          <w:iCs w:val="false"/>
          <w:color w:themeColor="text1" w:val="000000"/>
          <w:sz w:val="18"/>
          <w:szCs w:val="18"/>
        </w:rPr>
        <w:t>ANEXO III – Minuta do Contrato</w:t>
      </w:r>
    </w:p>
    <w:p>
      <w:pPr>
        <w:pStyle w:val="Nvel2-Red"/>
        <w:numPr>
          <w:ilvl w:val="2"/>
          <w:numId w:val="18"/>
        </w:numPr>
        <w:spacing w:lineRule="auto" w:line="240" w:before="0" w:after="0"/>
        <w:ind w:hanging="432" w:left="999"/>
        <w:rPr>
          <w:i w:val="false"/>
          <w:color w:themeColor="text1" w:val="000000"/>
          <w:sz w:val="18"/>
          <w:szCs w:val="18"/>
        </w:rPr>
      </w:pPr>
      <w:r>
        <w:rPr>
          <w:i w:val="false"/>
          <w:iCs w:val="false"/>
          <w:color w:themeColor="text1" w:val="000000"/>
          <w:sz w:val="18"/>
          <w:szCs w:val="18"/>
        </w:rPr>
        <w:t>ANEXO IV – Autorização Autoridade Competente</w:t>
      </w:r>
    </w:p>
    <w:p>
      <w:pPr>
        <w:pStyle w:val="Nvel2-Red"/>
        <w:numPr>
          <w:ilvl w:val="2"/>
          <w:numId w:val="18"/>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ANEXO V – Extrato de Aviso de Edital </w:t>
      </w:r>
    </w:p>
    <w:p>
      <w:pPr>
        <w:pStyle w:val="Normal"/>
        <w:jc w:val="both"/>
        <w:rPr>
          <w:rFonts w:ascii="Arial" w:hAnsi="Arial" w:cs="Arial"/>
          <w:color w:val="000000"/>
          <w:sz w:val="18"/>
          <w:szCs w:val="18"/>
        </w:rPr>
      </w:pPr>
      <w:r>
        <w:rPr>
          <w:rFonts w:cs="Arial" w:ascii="Arial" w:hAnsi="Arial"/>
          <w:color w:val="000000"/>
          <w:sz w:val="18"/>
          <w:szCs w:val="18"/>
        </w:rPr>
      </w:r>
    </w:p>
    <w:p>
      <w:pPr>
        <w:pStyle w:val="Normal"/>
        <w:spacing w:lineRule="auto" w:line="360"/>
        <w:jc w:val="both"/>
        <w:rPr>
          <w:rFonts w:ascii="Arial" w:hAnsi="Arial" w:cs="Arial"/>
          <w:sz w:val="18"/>
          <w:szCs w:val="18"/>
          <w:shd w:fill="FFFFFF" w:val="clear"/>
        </w:rPr>
      </w:pPr>
      <w:r>
        <w:rPr>
          <w:rFonts w:cs="Arial" w:ascii="Arial" w:hAnsi="Arial"/>
          <w:sz w:val="18"/>
          <w:szCs w:val="18"/>
          <w:shd w:fill="FFFFFF" w:val="clear"/>
        </w:rPr>
      </w:r>
    </w:p>
    <w:p>
      <w:pPr>
        <w:pStyle w:val="Normal"/>
        <w:spacing w:lineRule="auto" w:line="360"/>
        <w:jc w:val="right"/>
        <w:rPr>
          <w:rFonts w:ascii="Arial" w:hAnsi="Arial" w:cs="Arial"/>
          <w:sz w:val="18"/>
          <w:szCs w:val="18"/>
          <w:shd w:fill="FFFFFF" w:val="clear"/>
        </w:rPr>
      </w:pPr>
      <w:r>
        <w:rPr>
          <w:rFonts w:cs="Arial" w:ascii="Arial" w:hAnsi="Arial"/>
          <w:sz w:val="18"/>
          <w:szCs w:val="18"/>
          <w:shd w:fill="FFFFFF" w:val="clear"/>
        </w:rPr>
      </w:r>
    </w:p>
    <w:p>
      <w:pPr>
        <w:pStyle w:val="Normal"/>
        <w:spacing w:lineRule="auto" w:line="360"/>
        <w:jc w:val="right"/>
        <w:rPr>
          <w:rFonts w:ascii="Arial" w:hAnsi="Arial" w:cs="Arial"/>
          <w:sz w:val="18"/>
          <w:szCs w:val="18"/>
        </w:rPr>
      </w:pPr>
      <w:r>
        <w:rPr>
          <w:rFonts w:cs="Arial" w:ascii="Arial" w:hAnsi="Arial"/>
          <w:sz w:val="18"/>
          <w:szCs w:val="18"/>
          <w:shd w:fill="FFFFFF" w:val="clear"/>
        </w:rPr>
        <w:t>Santa Bárbara do Sul/RS, 10 de julho de 2026.</w:t>
      </w:r>
    </w:p>
    <w:p>
      <w:pPr>
        <w:pStyle w:val="Normal"/>
        <w:jc w:val="right"/>
        <w:rPr>
          <w:rFonts w:ascii="Arial" w:hAnsi="Arial" w:cs="Arial"/>
          <w:color w:val="000000"/>
          <w:sz w:val="18"/>
          <w:szCs w:val="18"/>
        </w:rPr>
      </w:pPr>
      <w:r>
        <w:rPr>
          <w:rFonts w:cs="Arial" w:ascii="Arial" w:hAnsi="Arial"/>
          <w:color w:val="000000"/>
          <w:sz w:val="18"/>
          <w:szCs w:val="18"/>
        </w:rPr>
      </w:r>
    </w:p>
    <w:p>
      <w:pPr>
        <w:pStyle w:val="Normal"/>
        <w:jc w:val="right"/>
        <w:rPr>
          <w:rFonts w:ascii="Arial" w:hAnsi="Arial" w:cs="Arial"/>
          <w:color w:val="000000"/>
          <w:sz w:val="18"/>
          <w:szCs w:val="18"/>
        </w:rPr>
      </w:pPr>
      <w:r>
        <w:rPr>
          <w:rFonts w:cs="Arial" w:ascii="Arial" w:hAnsi="Arial"/>
          <w:color w:val="000000"/>
          <w:sz w:val="18"/>
          <w:szCs w:val="18"/>
        </w:rPr>
      </w:r>
    </w:p>
    <w:p>
      <w:pPr>
        <w:pStyle w:val="Normal"/>
        <w:jc w:val="right"/>
        <w:rPr>
          <w:rFonts w:ascii="Arial" w:hAnsi="Arial" w:cs="Arial"/>
          <w:i/>
          <w:iCs/>
          <w:color w:themeColor="text1" w:val="000000"/>
          <w:sz w:val="18"/>
          <w:szCs w:val="18"/>
        </w:rPr>
      </w:pPr>
      <w:r>
        <w:rPr>
          <w:rFonts w:cs="Arial" w:ascii="Arial" w:hAnsi="Arial"/>
          <w:i/>
          <w:iCs/>
          <w:color w:themeColor="text1" w:val="000000"/>
          <w:sz w:val="18"/>
          <w:szCs w:val="18"/>
        </w:rPr>
      </w:r>
    </w:p>
    <w:p>
      <w:pPr>
        <w:pStyle w:val="Normal"/>
        <w:jc w:val="both"/>
        <w:rPr>
          <w:rFonts w:ascii="Arial" w:hAnsi="Arial" w:cs="Arial"/>
          <w:i/>
          <w:iCs/>
          <w:color w:themeColor="text1" w:val="000000"/>
          <w:sz w:val="18"/>
          <w:szCs w:val="18"/>
        </w:rPr>
      </w:pPr>
      <w:r>
        <w:rPr>
          <w:rFonts w:cs="Arial" w:ascii="Arial" w:hAnsi="Arial"/>
          <w:i/>
          <w:iCs/>
          <w:color w:themeColor="text1" w:val="000000"/>
          <w:sz w:val="18"/>
          <w:szCs w:val="18"/>
        </w:rPr>
      </w:r>
    </w:p>
    <w:p>
      <w:pPr>
        <w:pStyle w:val="Normal"/>
        <w:jc w:val="center"/>
        <w:rPr>
          <w:rFonts w:ascii="Arial" w:hAnsi="Arial" w:cs="Arial"/>
          <w:i/>
          <w:iCs/>
          <w:color w:themeColor="text1" w:val="000000"/>
          <w:sz w:val="18"/>
          <w:szCs w:val="18"/>
        </w:rPr>
      </w:pPr>
      <w:r>
        <w:rPr>
          <w:rFonts w:cs="Arial" w:ascii="Arial" w:hAnsi="Arial"/>
          <w:i/>
          <w:iCs/>
          <w:color w:themeColor="text1" w:val="000000"/>
          <w:sz w:val="18"/>
          <w:szCs w:val="18"/>
        </w:rPr>
        <w:t>Leandro Caraffini Veneral</w:t>
      </w:r>
    </w:p>
    <w:p>
      <w:pPr>
        <w:pStyle w:val="Normal"/>
        <w:jc w:val="center"/>
        <w:rPr>
          <w:rFonts w:ascii="Arial" w:hAnsi="Arial" w:cs="Arial"/>
          <w:i/>
          <w:iCs/>
          <w:sz w:val="18"/>
          <w:szCs w:val="18"/>
        </w:rPr>
      </w:pPr>
      <w:r>
        <w:rPr>
          <w:rFonts w:cs="Arial" w:ascii="Arial" w:hAnsi="Arial"/>
          <w:i/>
          <w:iCs/>
          <w:color w:themeColor="text1" w:val="000000"/>
          <w:sz w:val="18"/>
          <w:szCs w:val="18"/>
        </w:rPr>
        <w:t>Prefeito</w:t>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sz w:val="18"/>
          <w:szCs w:val="18"/>
        </w:rPr>
      </w:pPr>
      <w:r>
        <w:rPr>
          <w:rFonts w:cs="Arial" w:ascii="Arial" w:hAnsi="Arial"/>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Header"/>
        <w:spacing w:lineRule="auto" w:line="312"/>
        <w:jc w:val="center"/>
        <w:rPr>
          <w:rFonts w:ascii="Arial" w:hAnsi="Arial" w:cs="Arial"/>
          <w:b/>
          <w:bCs/>
          <w:sz w:val="18"/>
          <w:szCs w:val="18"/>
        </w:rPr>
      </w:pPr>
      <w:r>
        <w:rPr>
          <w:rFonts w:cs="Arial" w:ascii="Arial" w:hAnsi="Arial"/>
          <w:b/>
          <w:bCs/>
          <w:sz w:val="18"/>
          <w:szCs w:val="18"/>
        </w:rPr>
      </w:r>
    </w:p>
    <w:p>
      <w:pPr>
        <w:pStyle w:val="Header"/>
        <w:spacing w:lineRule="auto" w:line="312"/>
        <w:jc w:val="center"/>
        <w:rPr>
          <w:rFonts w:ascii="Arial" w:hAnsi="Arial" w:cs="Arial"/>
          <w:b/>
          <w:bCs/>
          <w:sz w:val="18"/>
          <w:szCs w:val="18"/>
        </w:rPr>
      </w:pPr>
      <w:r>
        <w:rPr>
          <w:rFonts w:cs="Arial" w:ascii="Arial" w:hAnsi="Arial"/>
          <w:b/>
          <w:bCs/>
          <w:sz w:val="18"/>
          <w:szCs w:val="18"/>
        </w:rPr>
      </w:r>
    </w:p>
    <w:p>
      <w:pPr>
        <w:pStyle w:val="Header"/>
        <w:spacing w:lineRule="auto" w:line="312"/>
        <w:jc w:val="center"/>
        <w:rPr>
          <w:rFonts w:ascii="Arial" w:hAnsi="Arial" w:cs="Arial"/>
          <w:b/>
          <w:bCs/>
          <w:sz w:val="18"/>
          <w:szCs w:val="18"/>
        </w:rPr>
      </w:pPr>
      <w:r>
        <w:rPr>
          <w:rFonts w:cs="Arial" w:ascii="Arial" w:hAnsi="Arial"/>
          <w:b/>
          <w:bCs/>
          <w:sz w:val="18"/>
          <w:szCs w:val="18"/>
        </w:rPr>
        <w:t>ANEXO I</w:t>
      </w:r>
    </w:p>
    <w:p>
      <w:pPr>
        <w:pStyle w:val="Header"/>
        <w:spacing w:lineRule="auto" w:line="312"/>
        <w:jc w:val="center"/>
        <w:rPr>
          <w:rFonts w:ascii="Arial" w:hAnsi="Arial" w:cs="Arial"/>
          <w:sz w:val="18"/>
          <w:szCs w:val="18"/>
        </w:rPr>
      </w:pPr>
      <w:r>
        <w:rPr>
          <w:rFonts w:cs="Arial" w:ascii="Arial" w:hAnsi="Arial"/>
          <w:b/>
          <w:bCs/>
          <w:sz w:val="18"/>
          <w:szCs w:val="18"/>
        </w:rPr>
        <w:t>TERMO DE REFERÊNCIA</w:t>
      </w:r>
    </w:p>
    <w:p>
      <w:pPr>
        <w:pStyle w:val="Normal"/>
        <w:spacing w:lineRule="auto" w:line="312"/>
        <w:jc w:val="center"/>
        <w:rPr>
          <w:rFonts w:ascii="Arial" w:hAnsi="Arial" w:cs="Arial"/>
          <w:sz w:val="18"/>
          <w:szCs w:val="18"/>
        </w:rPr>
      </w:pPr>
      <w:r>
        <w:rPr>
          <w:rFonts w:cs="Arial" w:ascii="Arial" w:hAnsi="Arial"/>
          <w:b/>
          <w:bCs/>
          <w:sz w:val="20"/>
          <w:szCs w:val="20"/>
        </w:rPr>
        <w:t>CONTRATAÇÃODE SERVIÇOS PROFISSIONAIS PARA REALIZAÇÃO DO TRANSPORTE ESCOLAR</w:t>
      </w:r>
      <w:r>
        <w:rPr>
          <w:rFonts w:cs="Arial" w:ascii="Arial" w:hAnsi="Arial"/>
          <w:b/>
          <w:bCs/>
          <w:color w:val="000000"/>
          <w:sz w:val="18"/>
          <w:szCs w:val="18"/>
        </w:rPr>
        <w:t xml:space="preserve"> (Processo Administrativo n° 141/2026)</w:t>
      </w:r>
    </w:p>
    <w:p>
      <w:pPr>
        <w:pStyle w:val="Normal"/>
        <w:spacing w:lineRule="auto" w:line="312"/>
        <w:jc w:val="both"/>
        <w:rPr>
          <w:rFonts w:ascii="Arial" w:hAnsi="Arial" w:cs="Arial"/>
          <w:sz w:val="18"/>
          <w:szCs w:val="18"/>
        </w:rPr>
      </w:pPr>
      <w:r>
        <w:rPr>
          <w:rFonts w:cs="Arial" w:ascii="Arial" w:hAnsi="Arial"/>
          <w:sz w:val="18"/>
          <w:szCs w:val="18"/>
        </w:rPr>
      </w:r>
    </w:p>
    <w:p>
      <w:pPr>
        <w:pStyle w:val="Nivel01"/>
        <w:numPr>
          <w:ilvl w:val="0"/>
          <w:numId w:val="0"/>
        </w:numPr>
        <w:spacing w:before="0" w:after="0"/>
        <w:ind w:hanging="0" w:left="0"/>
        <w:rPr>
          <w:color w:val="000000"/>
          <w:sz w:val="18"/>
          <w:szCs w:val="18"/>
        </w:rPr>
      </w:pPr>
      <w:r>
        <w:rPr>
          <w:color w:val="000000"/>
          <w:sz w:val="18"/>
          <w:szCs w:val="18"/>
        </w:rPr>
        <w:t>1 - CONDIÇÕES GERAIS DA CONTRATAÇÃO</w:t>
      </w:r>
    </w:p>
    <w:p>
      <w:pPr>
        <w:pStyle w:val="Header"/>
        <w:numPr>
          <w:ilvl w:val="1"/>
          <w:numId w:val="5"/>
        </w:numPr>
        <w:spacing w:lineRule="auto" w:line="312"/>
        <w:jc w:val="both"/>
        <w:rPr>
          <w:rFonts w:ascii="Arial" w:hAnsi="Arial" w:cs="Arial"/>
          <w:sz w:val="18"/>
          <w:szCs w:val="18"/>
        </w:rPr>
      </w:pPr>
      <w:r>
        <w:rPr>
          <w:rFonts w:cs="Arial" w:ascii="Arial" w:hAnsi="Arial"/>
          <w:sz w:val="18"/>
          <w:szCs w:val="18"/>
        </w:rPr>
        <w:t xml:space="preserve">– </w:t>
      </w:r>
      <w:r>
        <w:rPr>
          <w:rFonts w:cs="Arial" w:ascii="Arial" w:hAnsi="Arial"/>
          <w:sz w:val="18"/>
          <w:szCs w:val="18"/>
        </w:rPr>
        <w:t>Constitui objeto da presente contratação a prestação de serviços contínuos de transporte escolar, mediante disponibilização de veículos, motoristas devidamente habilitados e demais recursos necessários, destinados ao transporte diário de estudantes da rede pública municipal de ensino, residentes na zona urbana e rural do Município de Santa Bárbara do Sul/RS, observadas as especificações constantes deste Termo de Referência, do Estudo Técnico Preliminar e dos respectivos anexos.</w:t>
      </w:r>
    </w:p>
    <w:p>
      <w:pPr>
        <w:pStyle w:val="Header"/>
        <w:numPr>
          <w:ilvl w:val="1"/>
          <w:numId w:val="5"/>
        </w:numPr>
        <w:spacing w:lineRule="auto" w:line="312"/>
        <w:jc w:val="both"/>
        <w:rPr>
          <w:rFonts w:ascii="Arial" w:hAnsi="Arial" w:cs="Arial"/>
          <w:sz w:val="18"/>
          <w:szCs w:val="18"/>
        </w:rPr>
      </w:pPr>
      <w:r>
        <w:rPr>
          <w:rFonts w:cs="Arial" w:ascii="Arial" w:hAnsi="Arial"/>
          <w:sz w:val="18"/>
          <w:szCs w:val="18"/>
        </w:rPr>
        <w:t>Os serviços serão executados por linhas, conforme itinerários, quilometragens estimadas, turnos, locais de embarque e desembarque constantes dos anexos deste Termo de Referência.</w:t>
      </w:r>
    </w:p>
    <w:p>
      <w:pPr>
        <w:pStyle w:val="Header"/>
        <w:numPr>
          <w:ilvl w:val="1"/>
          <w:numId w:val="5"/>
        </w:numPr>
        <w:spacing w:lineRule="auto" w:line="312"/>
        <w:jc w:val="both"/>
        <w:rPr>
          <w:rFonts w:ascii="Arial" w:hAnsi="Arial" w:cs="Arial"/>
          <w:sz w:val="18"/>
          <w:szCs w:val="18"/>
        </w:rPr>
      </w:pPr>
      <w:r>
        <w:rPr>
          <w:rFonts w:cs="Arial" w:ascii="Arial" w:hAnsi="Arial"/>
          <w:sz w:val="18"/>
          <w:szCs w:val="18"/>
        </w:rPr>
        <w:t>As quilometragens previstas possuem caráter estimativo, podendo sofrer acréscimos ou supressões em razão de alterações no calendário escolar, abertura ou fechamento de turmas, transferência de alunos, alteração de itinerários, condições das vias ou outras necessidades da Administração, observado o disposto na Lei Federal nº 14.133/2021.</w:t>
      </w:r>
    </w:p>
    <w:p>
      <w:pPr>
        <w:pStyle w:val="Header"/>
        <w:numPr>
          <w:ilvl w:val="1"/>
          <w:numId w:val="5"/>
        </w:numPr>
        <w:spacing w:lineRule="auto" w:line="312"/>
        <w:jc w:val="both"/>
        <w:rPr>
          <w:rFonts w:ascii="Arial" w:hAnsi="Arial" w:cs="Arial"/>
          <w:sz w:val="18"/>
          <w:szCs w:val="18"/>
        </w:rPr>
      </w:pPr>
      <w:r>
        <w:rPr>
          <w:rFonts w:cs="Arial" w:ascii="Arial" w:hAnsi="Arial"/>
          <w:sz w:val="18"/>
          <w:szCs w:val="18"/>
        </w:rPr>
        <w:t>A contratação compreende o fornecimento de todos os veículos, motoristas, combustíveis, manutenção preventiva e corretiva, pneus, seguros, tributos, encargos trabalhistas, previdenciários, equipamentos obrigatórios, licenciamento, vistorias e demais insumos necessários à perfeita execução dos serviços, não sendo admitida qualquer cobrança adicional.</w:t>
      </w:r>
    </w:p>
    <w:p>
      <w:pPr>
        <w:pStyle w:val="Header"/>
        <w:numPr>
          <w:ilvl w:val="1"/>
          <w:numId w:val="5"/>
        </w:numPr>
        <w:spacing w:lineRule="auto" w:line="312"/>
        <w:jc w:val="both"/>
        <w:rPr>
          <w:rFonts w:ascii="Arial" w:hAnsi="Arial" w:cs="Arial"/>
          <w:sz w:val="18"/>
          <w:szCs w:val="18"/>
        </w:rPr>
      </w:pPr>
      <w:r>
        <w:rPr>
          <w:rFonts w:cs="Arial" w:ascii="Arial" w:hAnsi="Arial"/>
          <w:sz w:val="18"/>
          <w:szCs w:val="18"/>
        </w:rPr>
        <w:t>Os veículos deverão permanecer em perfeitas condições de conservação, segurança, higiene e funcionamento durante toda a vigência contratual.</w:t>
      </w:r>
    </w:p>
    <w:p>
      <w:pPr>
        <w:pStyle w:val="Header"/>
        <w:numPr>
          <w:ilvl w:val="1"/>
          <w:numId w:val="5"/>
        </w:numPr>
        <w:spacing w:lineRule="auto" w:line="312"/>
        <w:jc w:val="both"/>
        <w:rPr>
          <w:rFonts w:ascii="Arial" w:hAnsi="Arial" w:cs="Arial"/>
          <w:sz w:val="18"/>
          <w:szCs w:val="18"/>
        </w:rPr>
      </w:pPr>
      <w:r>
        <w:rPr>
          <w:rFonts w:cs="Arial" w:ascii="Arial" w:hAnsi="Arial"/>
          <w:sz w:val="18"/>
          <w:szCs w:val="18"/>
        </w:rPr>
        <w:t>A execução observará integralmente a Lei Federal nº 14.133/2021, o Código de Trânsito Brasileiro, as Resoluções do CONTRAN, a legislação estadual aplicável ao transporte escolar, as normas expedidas pelo DETRAN/RS, bem como as demais normas municipais pertinentes</w:t>
      </w:r>
    </w:p>
    <w:tbl>
      <w:tblPr>
        <w:tblW w:w="9809" w:type="dxa"/>
        <w:jc w:val="left"/>
        <w:tblInd w:w="75" w:type="dxa"/>
        <w:tblLayout w:type="fixed"/>
        <w:tblCellMar>
          <w:top w:w="0" w:type="dxa"/>
          <w:left w:w="70" w:type="dxa"/>
          <w:bottom w:w="0" w:type="dxa"/>
          <w:right w:w="70" w:type="dxa"/>
        </w:tblCellMar>
        <w:tblLook w:val="04a0" w:firstRow="1" w:noVBand="1" w:lastRow="0" w:firstColumn="1" w:lastColumn="0" w:noHBand="0"/>
      </w:tblPr>
      <w:tblGrid>
        <w:gridCol w:w="428"/>
        <w:gridCol w:w="6891"/>
        <w:gridCol w:w="693"/>
        <w:gridCol w:w="693"/>
        <w:gridCol w:w="1104"/>
      </w:tblGrid>
      <w:tr>
        <w:trPr>
          <w:trHeight w:val="309" w:hRule="atLeast"/>
        </w:trPr>
        <w:tc>
          <w:tcPr>
            <w:tcW w:w="428" w:type="dxa"/>
            <w:tcBorders>
              <w:top w:val="single" w:sz="4" w:space="0" w:color="000000"/>
              <w:left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Arial" w:hAnsi="Arial" w:eastAsia="Times New Roman" w:cs="Arial"/>
                <w:b/>
                <w:bCs/>
                <w:color w:val="000000"/>
                <w:sz w:val="14"/>
                <w:szCs w:val="14"/>
              </w:rPr>
            </w:pPr>
            <w:r>
              <w:rPr>
                <w:rFonts w:eastAsia="Times New Roman" w:cs="Arial" w:ascii="Arial" w:hAnsi="Arial"/>
                <w:b/>
                <w:bCs/>
                <w:color w:val="000000"/>
                <w:sz w:val="14"/>
                <w:szCs w:val="14"/>
              </w:rPr>
              <w:t>Item</w:t>
            </w:r>
          </w:p>
        </w:tc>
        <w:tc>
          <w:tcPr>
            <w:tcW w:w="6891"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Arial" w:hAnsi="Arial" w:eastAsia="Times New Roman" w:cs="Arial"/>
                <w:b/>
                <w:bCs/>
                <w:color w:val="000000"/>
                <w:sz w:val="14"/>
                <w:szCs w:val="14"/>
              </w:rPr>
            </w:pPr>
            <w:r>
              <w:rPr>
                <w:rFonts w:eastAsia="Times New Roman" w:cs="Arial" w:ascii="Arial" w:hAnsi="Arial"/>
                <w:b/>
                <w:bCs/>
                <w:color w:val="000000"/>
                <w:sz w:val="14"/>
                <w:szCs w:val="14"/>
              </w:rPr>
              <w:t>Descrição</w:t>
            </w:r>
          </w:p>
        </w:tc>
        <w:tc>
          <w:tcPr>
            <w:tcW w:w="693"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Arial" w:hAnsi="Arial" w:eastAsia="Times New Roman" w:cs="Arial"/>
                <w:b/>
                <w:bCs/>
                <w:color w:val="000000"/>
                <w:sz w:val="14"/>
                <w:szCs w:val="14"/>
              </w:rPr>
            </w:pPr>
            <w:r>
              <w:rPr>
                <w:rFonts w:eastAsia="Times New Roman" w:cs="Arial" w:ascii="Arial" w:hAnsi="Arial"/>
                <w:b/>
                <w:bCs/>
                <w:color w:val="000000"/>
                <w:sz w:val="14"/>
                <w:szCs w:val="14"/>
              </w:rPr>
              <w:t>Unidade</w:t>
            </w:r>
          </w:p>
        </w:tc>
        <w:tc>
          <w:tcPr>
            <w:tcW w:w="693"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jc w:val="right"/>
              <w:rPr>
                <w:rFonts w:ascii="Arial" w:hAnsi="Arial" w:eastAsia="Times New Roman" w:cs="Arial"/>
                <w:b/>
                <w:bCs/>
                <w:color w:val="000000"/>
                <w:sz w:val="14"/>
                <w:szCs w:val="14"/>
              </w:rPr>
            </w:pPr>
            <w:r>
              <w:rPr>
                <w:rFonts w:eastAsia="Times New Roman" w:cs="Arial" w:ascii="Arial" w:hAnsi="Arial"/>
                <w:b/>
                <w:bCs/>
                <w:color w:val="000000"/>
                <w:sz w:val="14"/>
                <w:szCs w:val="14"/>
              </w:rPr>
              <w:t>Quant. Max.</w:t>
            </w:r>
          </w:p>
        </w:tc>
        <w:tc>
          <w:tcPr>
            <w:tcW w:w="1104"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jc w:val="right"/>
              <w:rPr>
                <w:rFonts w:ascii="Arial" w:hAnsi="Arial" w:eastAsia="Times New Roman" w:cs="Arial"/>
                <w:b/>
                <w:bCs/>
                <w:color w:val="000000"/>
                <w:sz w:val="14"/>
                <w:szCs w:val="14"/>
              </w:rPr>
            </w:pPr>
            <w:r>
              <w:rPr>
                <w:rFonts w:eastAsia="Times New Roman" w:cs="Arial" w:ascii="Arial" w:hAnsi="Arial"/>
                <w:b/>
                <w:bCs/>
                <w:color w:val="000000"/>
                <w:sz w:val="14"/>
                <w:szCs w:val="14"/>
              </w:rPr>
              <w:t>Preço Unit. Estimado</w:t>
            </w:r>
          </w:p>
        </w:tc>
      </w:tr>
      <w:tr>
        <w:trPr>
          <w:trHeight w:val="309" w:hRule="atLeast"/>
        </w:trPr>
        <w:tc>
          <w:tcPr>
            <w:tcW w:w="428"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spacing w:before="0" w:after="4080"/>
              <w:rPr>
                <w:rFonts w:ascii="Arial" w:hAnsi="Arial" w:eastAsia="Times New Roman" w:cs="Arial"/>
                <w:color w:val="000000"/>
                <w:sz w:val="14"/>
                <w:szCs w:val="14"/>
              </w:rPr>
            </w:pPr>
            <w:r>
              <w:rPr>
                <w:rFonts w:eastAsia="Times New Roman" w:cs="Arial" w:ascii="Arial" w:hAnsi="Arial"/>
                <w:color w:val="000000"/>
                <w:sz w:val="14"/>
                <w:szCs w:val="14"/>
              </w:rPr>
              <w:t>1</w:t>
            </w:r>
          </w:p>
        </w:tc>
        <w:tc>
          <w:tcPr>
            <w:tcW w:w="6891" w:type="dxa"/>
            <w:tcBorders>
              <w:bottom w:val="single" w:sz="4" w:space="0" w:color="000000"/>
              <w:right w:val="single" w:sz="4" w:space="0" w:color="000000"/>
            </w:tcBorders>
            <w:shd w:color="auto" w:fill="auto" w:val="clear"/>
            <w:vAlign w:val="bottom"/>
          </w:tcPr>
          <w:p>
            <w:pPr>
              <w:pStyle w:val="Normal"/>
              <w:suppressAutoHyphens w:val="false"/>
              <w:rPr>
                <w:rFonts w:ascii="Arial" w:hAnsi="Arial" w:eastAsia="Times New Roman" w:cs="Arial"/>
                <w:b/>
                <w:bCs/>
                <w:color w:val="000000"/>
                <w:sz w:val="14"/>
                <w:szCs w:val="14"/>
              </w:rPr>
            </w:pPr>
            <w:r>
              <w:rPr>
                <w:rFonts w:eastAsia="Times New Roman" w:cs="Arial" w:ascii="Arial" w:hAnsi="Arial"/>
                <w:b/>
                <w:bCs/>
                <w:color w:val="000000"/>
                <w:sz w:val="14"/>
                <w:szCs w:val="14"/>
              </w:rPr>
              <w:t>PRESTAÇÃO DE SERVIÇO DE ACOLHIMENTO E LOGÍSTICA</w:t>
            </w:r>
          </w:p>
          <w:p>
            <w:pPr>
              <w:pStyle w:val="Normal"/>
              <w:suppressAutoHyphens w:val="false"/>
              <w:rPr>
                <w:rFonts w:ascii="Arial" w:hAnsi="Arial" w:eastAsia="Times New Roman" w:cs="Arial"/>
                <w:color w:val="000000"/>
                <w:sz w:val="14"/>
                <w:szCs w:val="14"/>
              </w:rPr>
            </w:pPr>
            <w:r>
              <w:rPr>
                <w:rFonts w:eastAsia="Times New Roman" w:cs="Arial" w:ascii="Arial" w:hAnsi="Arial"/>
                <w:color w:val="000000"/>
                <w:sz w:val="14"/>
                <w:szCs w:val="14"/>
              </w:rPr>
              <w:t>Contratação de empresa para Prestação de serviços de logística na área da saúde e acolhimento de pacientes aos munícipes.</w:t>
              <w:br/>
              <w:t xml:space="preserve">1. Disponibilização de Espaço Estruturas de acolhimento localizadas em endereços de fácil acesso na cidade de Passo Fundo, Porto Alegre e Erechim, com casas, acolhimento diurno e noturno. Funcionamento todos os dias da semana, 24 horas por dia, garantindo suporte contínuo para pacientes e familiares. </w:t>
              <w:br/>
              <w:t>2. Estrutura Física Mínima Banheiros com chuveiro, cozinha equipada e lavanderia, disponíveis para uso dos pacientes e acompanhantes. Condições adequadas para atendimento de pessoas em tratamento fora do domicílio, garantindo conforto e higiene e dignidade.</w:t>
              <w:br/>
              <w:t xml:space="preserve">3. Logística de documentos Serviços de Logística em saúde na cidade de Porto Alegre, Passo Fundo e Caxias do Sul: Buscar e devolver documentos de todo e qualquer lugar solicitado pelo Município, fazer a retirada de exames, laudos, receitas, requisições, encaminhamentos médicos e demais documentos pertinentes. </w:t>
              <w:br/>
              <w:t xml:space="preserve">4. Suporte aos Motoristas e Passageiros Prestação de suporte imediato a motoristas e passageiros em situações de impossibilidade de deslocamento, ocasionadas por avarias ou falhas nos veículos da Saúde. O atendimento abrange o município de Porto Alegre, assegurando agilidade na solução dos imprevistos e continuidade dos serviços de transporte em saúde. </w:t>
              <w:br/>
              <w:t xml:space="preserve">5. Apoio a Pacientes com Alta Hospitalar Realização do acolhimento e transporte de pacientes com alta hospitalar, provenientes de hospitais, casas de saúde e clínicas localizadas em Porto Alegre. A equipe é responsável por buscar o paciente, conduzi-lo até o local de acolhimento e garantir sua permanência segura até a chegada do transporte municipal. Quando necessário, é previsto pernoite com suporte assistencial, assegurando conforto e cuidado durante todo o processo de retorno residência. </w:t>
              <w:br/>
              <w:t xml:space="preserve">6. Pesquisa de avaliação e satisfação para todos os atendidos em tempo real. Implementação de um sistema de pesquisa de satisfação contínua, que permite aos usuários dos serviços avaliarem o atendimento recebido de forma imediata e digital. Essa ação garante o monitoramento em tempo real da qualidade dos serviços, promovendo melhorias constantes, maior transparência e a escuta ativa das necessidades da população atendida. </w:t>
              <w:br/>
              <w:t>7. Assessoria e Integração dos Serviços Desenvolvimento de uma assessoria técnica permanente para orientar e integrar os diferentes setores e programas municipais. O objetivo é fortalecer a comunicação entre as áreas, padronizar processos e promover uma atuação conjunta, eficiente e humanizada no atendimento população.</w:t>
              <w:br/>
              <w:t xml:space="preserve">8. Programa Cidade Acolhedora Criação e implementação do Programa Cidade Acolhedora, voltado ao reconhecimento de municípios que investem em acolhimento, humanização e qualidade nos serviços públicos. O lançamento será marcado pela entrega oficial do Selo Cidade Acolhedora, símbolo do compromisso com a boa gestão, empatia e valorização das pessoas. </w:t>
              <w:br/>
              <w:t xml:space="preserve">9. Workshop de Valorização do Servidor Evento voltado ao fortalecimento da equipe e valorização do papel de cada servidor público. O workshop contará com palestras motivacionais, dinâmicas de grupo e troca de experiências, promovendo engajamento, pertencimento e reforçando o compromisso com um serviço público de qualidade. </w:t>
              <w:br/>
              <w:t xml:space="preserve">10. Sistema Próprio de Monitoramento de Solicitações de Logística e Hospedagem Implantação de um sistema exclusivo de monitoramento, desenvolvido para acompanhar em tempo real todas as solicitações de logística e hospedagem realizadas pelos municípios. A ferramenta permite organizar, rastrear e otimizar o fluxo de atendimentos, garantindo maior agilidade, transparência e eficiência na gestão dos deslocamentos e hospedagens vinculadas aos serviços de saúde. O sistema também possibilita emissão de relatórios, controle de status das solicitações e comunicação direta com as equipes operacionais, fortalecendo a integração entre os setores e a qualidade do serviço prestado. </w:t>
              <w:br/>
              <w:t>11. Assessoria Técnica de Sistema Disponibilização de uma equipe especializada para oferecer assessoria técnica contínua aos municípios na utilização do sistema de monitoramento. Essa assessoria abrange orientação personalizada, treinamento de usuários e acompanhamento de desempenho da ferramenta, garantindo o uso eficiente dos recursos tecnológicos disponíveis. O serviço visa fortalecer a autonomia das equipes locais e aprimorar os processos de gestão logística e de hospedagem, com foco em resultados e inovação.</w:t>
            </w:r>
          </w:p>
        </w:tc>
        <w:tc>
          <w:tcPr>
            <w:tcW w:w="693" w:type="dxa"/>
            <w:tcBorders>
              <w:bottom w:val="single" w:sz="4" w:space="0" w:color="000000"/>
              <w:right w:val="single" w:sz="4" w:space="0" w:color="000000"/>
            </w:tcBorders>
            <w:shd w:color="auto" w:fill="auto" w:val="clear"/>
            <w:vAlign w:val="bottom"/>
          </w:tcPr>
          <w:p>
            <w:pPr>
              <w:pStyle w:val="Normal"/>
              <w:suppressAutoHyphens w:val="false"/>
              <w:spacing w:before="240" w:after="4080"/>
              <w:rPr>
                <w:rFonts w:ascii="Arial" w:hAnsi="Arial" w:eastAsia="Times New Roman" w:cs="Arial"/>
                <w:color w:val="000000"/>
                <w:sz w:val="14"/>
                <w:szCs w:val="14"/>
              </w:rPr>
            </w:pPr>
            <w:r>
              <w:rPr>
                <w:rFonts w:eastAsia="Times New Roman" w:cs="Arial" w:ascii="Arial" w:hAnsi="Arial"/>
                <w:color w:val="000000"/>
                <w:sz w:val="14"/>
                <w:szCs w:val="14"/>
              </w:rPr>
              <w:t>UN</w:t>
            </w:r>
          </w:p>
        </w:tc>
        <w:tc>
          <w:tcPr>
            <w:tcW w:w="693" w:type="dxa"/>
            <w:tcBorders>
              <w:bottom w:val="single" w:sz="4" w:space="0" w:color="000000"/>
              <w:right w:val="single" w:sz="4" w:space="0" w:color="000000"/>
            </w:tcBorders>
            <w:shd w:color="auto" w:fill="auto" w:val="clear"/>
            <w:vAlign w:val="bottom"/>
          </w:tcPr>
          <w:p>
            <w:pPr>
              <w:pStyle w:val="Normal"/>
              <w:suppressAutoHyphens w:val="false"/>
              <w:spacing w:before="240" w:after="4080"/>
              <w:jc w:val="right"/>
              <w:rPr>
                <w:rFonts w:ascii="Arial" w:hAnsi="Arial" w:eastAsia="Times New Roman" w:cs="Arial"/>
                <w:color w:val="000000"/>
                <w:sz w:val="14"/>
                <w:szCs w:val="14"/>
              </w:rPr>
            </w:pPr>
            <w:r>
              <w:rPr>
                <w:rFonts w:eastAsia="Times New Roman" w:cs="Arial" w:ascii="Arial" w:hAnsi="Arial"/>
                <w:color w:val="000000"/>
                <w:sz w:val="14"/>
                <w:szCs w:val="14"/>
              </w:rPr>
              <w:t>12</w:t>
            </w:r>
          </w:p>
        </w:tc>
        <w:tc>
          <w:tcPr>
            <w:tcW w:w="1104" w:type="dxa"/>
            <w:tcBorders>
              <w:bottom w:val="single" w:sz="4" w:space="0" w:color="000000"/>
              <w:right w:val="single" w:sz="4" w:space="0" w:color="000000"/>
            </w:tcBorders>
            <w:shd w:color="auto" w:fill="auto" w:val="clear"/>
            <w:vAlign w:val="bottom"/>
          </w:tcPr>
          <w:p>
            <w:pPr>
              <w:pStyle w:val="Normal"/>
              <w:suppressAutoHyphens w:val="false"/>
              <w:spacing w:before="240" w:after="4080"/>
              <w:jc w:val="right"/>
              <w:rPr>
                <w:rFonts w:ascii="Arial" w:hAnsi="Arial" w:eastAsia="Times New Roman" w:cs="Arial"/>
                <w:color w:val="000000"/>
                <w:sz w:val="14"/>
                <w:szCs w:val="14"/>
              </w:rPr>
            </w:pPr>
            <w:r>
              <w:rPr>
                <w:rFonts w:eastAsia="Times New Roman" w:cs="Arial" w:ascii="Arial" w:hAnsi="Arial"/>
                <w:color w:val="000000"/>
                <w:sz w:val="14"/>
                <w:szCs w:val="14"/>
              </w:rPr>
              <w:t>R$ 58.800,00</w:t>
            </w:r>
          </w:p>
        </w:tc>
      </w:tr>
    </w:tbl>
    <w:p>
      <w:pPr>
        <w:pStyle w:val="Header"/>
        <w:spacing w:lineRule="auto" w:line="312"/>
        <w:jc w:val="both"/>
        <w:rPr>
          <w:rFonts w:ascii="Arial" w:hAnsi="Arial" w:cs="Arial"/>
          <w:sz w:val="18"/>
          <w:szCs w:val="18"/>
        </w:rPr>
      </w:pPr>
      <w:r>
        <w:rPr>
          <w:rFonts w:cs="Arial" w:ascii="Arial" w:hAnsi="Arial"/>
          <w:sz w:val="18"/>
          <w:szCs w:val="18"/>
        </w:rPr>
      </w:r>
    </w:p>
    <w:p>
      <w:pPr>
        <w:pStyle w:val="Nivel2"/>
        <w:numPr>
          <w:ilvl w:val="1"/>
          <w:numId w:val="5"/>
        </w:numPr>
        <w:spacing w:lineRule="auto" w:line="312" w:before="0" w:after="0"/>
        <w:rPr>
          <w:sz w:val="18"/>
          <w:szCs w:val="18"/>
        </w:rPr>
      </w:pPr>
      <w:r>
        <w:rPr>
          <w:sz w:val="18"/>
          <w:szCs w:val="18"/>
        </w:rPr>
        <w:t>A contratada deverá disponibilizar veículo reserva compatível para substituição imediata daquele que apresentar defeito mecânico, acidente ou qualquer situação que impeça a continuidade da prestação do serviço.</w:t>
      </w:r>
    </w:p>
    <w:p>
      <w:pPr>
        <w:pStyle w:val="Nivel2"/>
        <w:numPr>
          <w:ilvl w:val="1"/>
          <w:numId w:val="5"/>
        </w:numPr>
        <w:spacing w:lineRule="auto" w:line="312" w:before="0" w:after="0"/>
        <w:rPr>
          <w:sz w:val="18"/>
          <w:szCs w:val="18"/>
        </w:rPr>
      </w:pPr>
      <w:r>
        <w:rPr>
          <w:sz w:val="18"/>
          <w:szCs w:val="18"/>
        </w:rPr>
        <w:t>A Administração poderá alterar itinerários, horários, pontos de embarque e desembarque, bem como criar, extinguir ou adequar linhas durante a execução contratual, sempre que houver necessidade decorrente da demanda escolar, observados os limites legais para alteração contratual.</w:t>
      </w:r>
    </w:p>
    <w:p>
      <w:pPr>
        <w:pStyle w:val="Nivel2"/>
        <w:numPr>
          <w:ilvl w:val="1"/>
          <w:numId w:val="5"/>
        </w:numPr>
        <w:spacing w:lineRule="auto" w:line="312" w:before="0" w:after="0"/>
        <w:rPr>
          <w:sz w:val="18"/>
          <w:szCs w:val="18"/>
        </w:rPr>
      </w:pPr>
      <w:r>
        <w:rPr>
          <w:sz w:val="18"/>
          <w:szCs w:val="18"/>
        </w:rPr>
        <w:t>O objeto desta contratação não se enquadra como sendo de bem de luxo, conforme Decreto Municipal nº 5.452, de 05 de setembro de 2023.</w:t>
      </w:r>
    </w:p>
    <w:p>
      <w:pPr>
        <w:pStyle w:val="Nivel2"/>
        <w:numPr>
          <w:ilvl w:val="1"/>
          <w:numId w:val="5"/>
        </w:numPr>
        <w:spacing w:lineRule="auto" w:line="312" w:before="0" w:after="0"/>
        <w:rPr>
          <w:sz w:val="18"/>
          <w:szCs w:val="18"/>
        </w:rPr>
      </w:pPr>
      <w:r>
        <w:rPr>
          <w:sz w:val="18"/>
          <w:szCs w:val="18"/>
        </w:rPr>
        <w:t xml:space="preserve"> </w:t>
      </w:r>
      <w:r>
        <w:rPr>
          <w:sz w:val="18"/>
          <w:szCs w:val="18"/>
        </w:rPr>
        <w:t xml:space="preserve">Os bens objeto desta contratação são caracterizados como comuns, nos termos do art. 6º, inciso XIII, da Lei nº 14.133/2021. </w:t>
      </w:r>
    </w:p>
    <w:p>
      <w:pPr>
        <w:pStyle w:val="Nivel2"/>
        <w:numPr>
          <w:ilvl w:val="0"/>
          <w:numId w:val="0"/>
        </w:numPr>
        <w:spacing w:lineRule="auto" w:line="312" w:before="0" w:after="0"/>
        <w:ind w:hanging="0" w:left="0"/>
        <w:rPr>
          <w:b/>
          <w:sz w:val="18"/>
          <w:szCs w:val="18"/>
        </w:rPr>
      </w:pPr>
      <w:r>
        <w:rPr>
          <w:b/>
          <w:sz w:val="18"/>
          <w:szCs w:val="18"/>
        </w:rPr>
        <w:t>2 - PRAZO DE VIGÊNCIA</w:t>
      </w:r>
    </w:p>
    <w:p>
      <w:pPr>
        <w:pStyle w:val="Nvel2-Red"/>
        <w:numPr>
          <w:ilvl w:val="0"/>
          <w:numId w:val="0"/>
        </w:numPr>
        <w:shd w:val="clear" w:color="FFFFFF" w:themeColor="background1" w:fill="FFFFFF" w:themeFill="background1"/>
        <w:spacing w:lineRule="auto" w:line="312" w:before="0" w:after="0"/>
        <w:ind w:hanging="0" w:left="0"/>
        <w:rPr>
          <w:i w:val="false"/>
          <w:iCs w:val="false"/>
          <w:color w:val="auto"/>
          <w:sz w:val="18"/>
          <w:szCs w:val="18"/>
        </w:rPr>
      </w:pPr>
      <w:r>
        <w:rPr>
          <w:i w:val="false"/>
          <w:iCs w:val="false"/>
          <w:color w:val="auto"/>
          <w:sz w:val="18"/>
          <w:szCs w:val="18"/>
        </w:rPr>
        <w:t xml:space="preserve">2.1 </w:t>
      </w:r>
      <w:r>
        <w:rPr>
          <w:i w:val="false"/>
          <w:iCs w:val="false"/>
          <w:color w:val="auto"/>
          <w:sz w:val="18"/>
          <w:szCs w:val="18"/>
          <w:highlight w:val="white"/>
        </w:rPr>
        <w:t xml:space="preserve">O prazo de vigência do contrato será de </w:t>
      </w:r>
      <w:r>
        <w:rPr>
          <w:b/>
          <w:bCs/>
          <w:i w:val="false"/>
          <w:iCs w:val="false"/>
          <w:color w:val="auto"/>
          <w:sz w:val="18"/>
          <w:szCs w:val="18"/>
          <w:highlight w:val="white"/>
        </w:rPr>
        <w:t>12 (doze) meses</w:t>
      </w:r>
      <w:r>
        <w:rPr>
          <w:i w:val="false"/>
          <w:iCs w:val="false"/>
          <w:color w:val="auto"/>
          <w:sz w:val="18"/>
          <w:szCs w:val="18"/>
          <w:highlight w:val="white"/>
        </w:rPr>
        <w:t>, contados da data de sua assinatura, podendo ser prorrogado sucessivamente, desde que demonstradas a vantajosidade para a Administração, a manutenção das condições de habilitação da contratada e observados os requisitos previstos nos arts. 105, 106 e 107 da Lei Federal nº 14.133/2021.</w:t>
      </w:r>
    </w:p>
    <w:p>
      <w:pPr>
        <w:pStyle w:val="Nvel2-Red"/>
        <w:numPr>
          <w:ilvl w:val="0"/>
          <w:numId w:val="0"/>
        </w:numPr>
        <w:shd w:val="clear" w:color="FFFFFF" w:themeColor="background1" w:fill="FFFFFF" w:themeFill="background1"/>
        <w:spacing w:lineRule="auto" w:line="312" w:before="0" w:after="0"/>
        <w:ind w:hanging="0" w:left="0"/>
        <w:rPr>
          <w:i w:val="false"/>
          <w:iCs w:val="false"/>
          <w:color w:val="auto"/>
          <w:sz w:val="18"/>
          <w:szCs w:val="18"/>
        </w:rPr>
      </w:pPr>
      <w:r>
        <w:rPr>
          <w:i w:val="false"/>
          <w:iCs w:val="false"/>
          <w:color w:val="auto"/>
          <w:sz w:val="18"/>
          <w:szCs w:val="18"/>
        </w:rPr>
        <w:t>2.2 A prorrogação da vigência contratual ficará condicionada à existência de dotação orçamentária, ao interesse da Administração, à avaliação satisfatória da execução contratual e à manutenção das condições que justificaram a contratação.</w:t>
      </w:r>
    </w:p>
    <w:p>
      <w:pPr>
        <w:pStyle w:val="Nvel2-Red"/>
        <w:numPr>
          <w:ilvl w:val="0"/>
          <w:numId w:val="0"/>
        </w:numPr>
        <w:shd w:val="clear" w:color="FFFFFF" w:themeColor="background1" w:fill="FFFFFF" w:themeFill="background1"/>
        <w:spacing w:lineRule="auto" w:line="312" w:before="0" w:after="0"/>
        <w:ind w:hanging="0" w:left="0"/>
        <w:rPr>
          <w:i w:val="false"/>
          <w:iCs w:val="false"/>
          <w:color w:val="auto"/>
          <w:sz w:val="18"/>
          <w:szCs w:val="18"/>
        </w:rPr>
      </w:pPr>
      <w:r>
        <w:rPr>
          <w:i w:val="false"/>
          <w:iCs w:val="false"/>
          <w:color w:val="auto"/>
          <w:sz w:val="18"/>
          <w:szCs w:val="18"/>
        </w:rPr>
        <w:t>2.3 A Administração poderá promover, previamente a cada prorrogação, pesquisa de mercado destinada a verificar a permanência da vantajosidade econômica da contratação, sem prejuízo das demais exigências legais.</w:t>
      </w:r>
    </w:p>
    <w:p>
      <w:pPr>
        <w:pStyle w:val="Nvel2-Red"/>
        <w:numPr>
          <w:ilvl w:val="0"/>
          <w:numId w:val="0"/>
        </w:numPr>
        <w:shd w:val="clear" w:color="FFFFFF" w:themeColor="background1" w:fill="FFFFFF" w:themeFill="background1"/>
        <w:spacing w:lineRule="auto" w:line="312" w:before="0" w:after="0"/>
        <w:ind w:hanging="0" w:left="0"/>
        <w:rPr>
          <w:i w:val="false"/>
          <w:iCs w:val="false"/>
          <w:color w:val="auto"/>
          <w:sz w:val="18"/>
          <w:szCs w:val="18"/>
        </w:rPr>
      </w:pPr>
      <w:r>
        <w:rPr>
          <w:i w:val="false"/>
          <w:iCs w:val="false"/>
          <w:color w:val="auto"/>
          <w:sz w:val="18"/>
          <w:szCs w:val="18"/>
        </w:rPr>
        <w:t>2.4 A execução dos serviços observará o calendário letivo da rede municipal de ensino, podendo sofrer adequações em razão de alterações promovidas pela Secretaria Municipal de Educação, sem prejuízo da vigência contratual.</w:t>
      </w:r>
    </w:p>
    <w:p>
      <w:pPr>
        <w:pStyle w:val="Nvel2-Red"/>
        <w:numPr>
          <w:ilvl w:val="0"/>
          <w:numId w:val="0"/>
        </w:numPr>
        <w:shd w:val="clear" w:color="FFFFFF" w:themeColor="background1" w:fill="FFFFFF" w:themeFill="background1"/>
        <w:spacing w:lineRule="auto" w:line="312" w:before="0" w:after="0"/>
        <w:ind w:hanging="0" w:left="0"/>
        <w:rPr>
          <w:color w:val="000000"/>
          <w:sz w:val="18"/>
          <w:szCs w:val="18"/>
        </w:rPr>
      </w:pPr>
      <w:r>
        <w:rPr>
          <w:color w:val="000000"/>
          <w:sz w:val="18"/>
          <w:szCs w:val="18"/>
        </w:rPr>
        <w:t xml:space="preserve">3 </w:t>
      </w:r>
      <w:r>
        <w:rPr>
          <w:b/>
          <w:bCs/>
          <w:color w:val="000000"/>
          <w:sz w:val="18"/>
          <w:szCs w:val="18"/>
        </w:rPr>
        <w:t>- FUNDAMENTAÇÃO E DESCRIÇÃO DA NECESSIDADE DA CONTRATAÇÃO</w:t>
      </w:r>
    </w:p>
    <w:p>
      <w:pPr>
        <w:pStyle w:val="Nivel2"/>
        <w:numPr>
          <w:ilvl w:val="0"/>
          <w:numId w:val="0"/>
        </w:numPr>
        <w:tabs>
          <w:tab w:val="clear" w:pos="708"/>
          <w:tab w:val="left" w:pos="426" w:leader="none"/>
        </w:tabs>
        <w:spacing w:lineRule="auto" w:line="312" w:before="0" w:after="0"/>
        <w:ind w:hanging="0" w:left="0"/>
        <w:rPr>
          <w:sz w:val="18"/>
          <w:szCs w:val="18"/>
        </w:rPr>
      </w:pPr>
      <w:r>
        <w:rPr>
          <w:sz w:val="18"/>
          <w:szCs w:val="18"/>
        </w:rPr>
        <w:t>3.1 - A presente contratação fundamenta-se na necessidade de assegurar o acesso e a permanência dos estudantes da rede pública municipal de ensino nas unidades escolares, por meio da prestação contínua e eficiente dos serviços de transporte escolar, garantindo o cumprimento do dever constitucional do Município de promover o acesso à educação, especialmente aos alunos residentes na zona rural e em locais de difícil acesso</w:t>
      </w:r>
    </w:p>
    <w:p>
      <w:pPr>
        <w:pStyle w:val="Nivel2"/>
        <w:numPr>
          <w:ilvl w:val="0"/>
          <w:numId w:val="0"/>
        </w:numPr>
        <w:tabs>
          <w:tab w:val="clear" w:pos="708"/>
          <w:tab w:val="left" w:pos="426" w:leader="none"/>
        </w:tabs>
        <w:spacing w:lineRule="auto" w:line="312" w:before="0" w:after="0"/>
        <w:ind w:hanging="0" w:left="0"/>
        <w:rPr>
          <w:sz w:val="18"/>
          <w:szCs w:val="18"/>
        </w:rPr>
      </w:pPr>
      <w:r>
        <w:rPr>
          <w:b/>
          <w:bCs/>
          <w:sz w:val="18"/>
          <w:szCs w:val="18"/>
        </w:rPr>
        <w:t>3.2.</w:t>
      </w:r>
      <w:r>
        <w:rPr>
          <w:sz w:val="18"/>
          <w:szCs w:val="18"/>
        </w:rPr>
        <w:t xml:space="preserve"> A fundamentação da contratação, a descrição da necessidade administrativa, a análise das alternativas disponíveis, a solução escolhida e a justificativa dos quantitativos encontram-se detalhadas no Estudo Técnico Preliminar – ETP, que integra o presente processo administrativo para todos os fins.</w:t>
      </w:r>
    </w:p>
    <w:p>
      <w:pPr>
        <w:pStyle w:val="Nivel2"/>
        <w:numPr>
          <w:ilvl w:val="0"/>
          <w:numId w:val="0"/>
        </w:numPr>
        <w:tabs>
          <w:tab w:val="clear" w:pos="708"/>
          <w:tab w:val="left" w:pos="426" w:leader="none"/>
        </w:tabs>
        <w:spacing w:lineRule="auto" w:line="312" w:before="0" w:after="0"/>
        <w:ind w:hanging="0" w:left="0"/>
        <w:rPr>
          <w:sz w:val="18"/>
          <w:szCs w:val="18"/>
        </w:rPr>
      </w:pPr>
      <w:r>
        <w:rPr>
          <w:b/>
          <w:bCs/>
          <w:sz w:val="18"/>
          <w:szCs w:val="18"/>
        </w:rPr>
        <w:t>3.3.</w:t>
      </w:r>
      <w:r>
        <w:rPr>
          <w:sz w:val="18"/>
          <w:szCs w:val="18"/>
        </w:rPr>
        <w:t xml:space="preserve"> A contratação mostra-se indispensável para assegurar a continuidade do transporte escolar durante o calendário letivo, contribuindo para a redução da evasão escolar, a promoção da igualdade de acesso à educação e o atendimento ao interesse público.</w:t>
      </w:r>
    </w:p>
    <w:p>
      <w:pPr>
        <w:pStyle w:val="Nivel2"/>
        <w:numPr>
          <w:ilvl w:val="0"/>
          <w:numId w:val="0"/>
        </w:numPr>
        <w:tabs>
          <w:tab w:val="clear" w:pos="708"/>
          <w:tab w:val="left" w:pos="426" w:leader="none"/>
        </w:tabs>
        <w:spacing w:lineRule="auto" w:line="312" w:before="0" w:after="0"/>
        <w:ind w:hanging="0" w:left="0"/>
        <w:rPr>
          <w:sz w:val="18"/>
          <w:szCs w:val="18"/>
        </w:rPr>
      </w:pPr>
      <w:r>
        <w:rPr>
          <w:b/>
          <w:bCs/>
          <w:sz w:val="18"/>
          <w:szCs w:val="18"/>
        </w:rPr>
        <w:t>3.4.</w:t>
      </w:r>
      <w:r>
        <w:rPr>
          <w:sz w:val="18"/>
          <w:szCs w:val="18"/>
        </w:rPr>
        <w:t xml:space="preserve"> Os quantitativos estimados, os itinerários, as quilometragens, os tipos de veículos e as demais especificações técnicas foram definidos com base nas demandas encaminhadas pela Secretaria Municipal de Educação, considerando o número estimado de alunos transportados, a localização das comunidades atendidas, as características das vias e o planejamento do calendário escolar.</w:t>
      </w:r>
    </w:p>
    <w:p>
      <w:pPr>
        <w:pStyle w:val="Nivel2"/>
        <w:numPr>
          <w:ilvl w:val="0"/>
          <w:numId w:val="0"/>
        </w:numPr>
        <w:tabs>
          <w:tab w:val="clear" w:pos="708"/>
          <w:tab w:val="left" w:pos="426" w:leader="none"/>
        </w:tabs>
        <w:spacing w:lineRule="auto" w:line="312" w:before="0" w:after="0"/>
        <w:ind w:hanging="0" w:left="0"/>
        <w:rPr>
          <w:sz w:val="18"/>
          <w:szCs w:val="18"/>
        </w:rPr>
      </w:pPr>
      <w:r>
        <w:rPr>
          <w:b/>
          <w:bCs/>
          <w:sz w:val="18"/>
          <w:szCs w:val="18"/>
        </w:rPr>
        <w:t>3.5.</w:t>
      </w:r>
      <w:r>
        <w:rPr>
          <w:sz w:val="18"/>
          <w:szCs w:val="18"/>
        </w:rPr>
        <w:t xml:space="preserve"> Durante a execução contratual, os itinerários, os horários, os pontos de embarque e desembarque, as quilometragens estimadas e a distribuição dos alunos poderão ser ajustados pela Administração, mediante justificativa da Secretaria Municipal de Educação, para melhor atendimento do interesse público, observados os limites e as hipóteses de alteração previstos na Lei Federal nº 14.133/2021.</w:t>
      </w:r>
    </w:p>
    <w:p>
      <w:pPr>
        <w:pStyle w:val="Nivel01"/>
        <w:numPr>
          <w:ilvl w:val="0"/>
          <w:numId w:val="0"/>
        </w:numPr>
        <w:spacing w:before="0" w:after="0"/>
        <w:ind w:hanging="0" w:left="0"/>
        <w:rPr>
          <w:color w:val="000000"/>
          <w:sz w:val="18"/>
          <w:szCs w:val="18"/>
        </w:rPr>
      </w:pPr>
      <w:r>
        <w:rPr>
          <w:color w:val="000000"/>
          <w:sz w:val="18"/>
          <w:szCs w:val="18"/>
        </w:rPr>
        <w:t>4 - DESCRIÇÃO DA SOLUÇÃO COMO UM TODO, CONSIDERADO O CICLO DE VIDA DO OBJETO E ESPECIFICAÇÃO DO SERVIÇO</w:t>
      </w:r>
    </w:p>
    <w:p>
      <w:pPr>
        <w:pStyle w:val="Nivel01"/>
        <w:numPr>
          <w:ilvl w:val="0"/>
          <w:numId w:val="0"/>
        </w:numPr>
        <w:spacing w:before="0" w:after="0"/>
        <w:ind w:hanging="0" w:left="360"/>
        <w:rPr>
          <w:b w:val="false"/>
          <w:bCs w:val="false"/>
          <w:color w:val="auto"/>
          <w:sz w:val="18"/>
          <w:szCs w:val="18"/>
        </w:rPr>
      </w:pPr>
      <w:r>
        <w:rPr>
          <w:b w:val="false"/>
          <w:bCs w:val="false"/>
          <w:color w:val="auto"/>
          <w:sz w:val="18"/>
          <w:szCs w:val="18"/>
        </w:rPr>
        <w:t>4.1. A solução consiste na contratação de empresa(s) especializada(s) para a prestação de serviços contínuos de transporte escolar, mediante disponibilização de veículos apropriados, motoristas devidamente habilitados e demais recursos necessários à execução dos itinerários definidos pela Secretaria Municipal de Educação, conforme especificações constantes neste Termo de Referência.</w:t>
      </w:r>
    </w:p>
    <w:p>
      <w:pPr>
        <w:pStyle w:val="Nivel01"/>
        <w:numPr>
          <w:ilvl w:val="0"/>
          <w:numId w:val="0"/>
        </w:numPr>
        <w:spacing w:before="0" w:after="0"/>
        <w:ind w:hanging="0" w:left="360"/>
        <w:rPr>
          <w:b w:val="false"/>
          <w:bCs w:val="false"/>
          <w:color w:val="auto"/>
          <w:sz w:val="18"/>
          <w:szCs w:val="18"/>
        </w:rPr>
      </w:pPr>
      <w:r>
        <w:rPr>
          <w:b w:val="false"/>
          <w:bCs w:val="false"/>
          <w:color w:val="auto"/>
          <w:sz w:val="18"/>
          <w:szCs w:val="18"/>
        </w:rPr>
        <w:t>4.2. A solução foi definida com base nas conclusões do Estudo Técnico Preliminar – ETP, que demonstrou ser a contratação de empresa especializada a alternativa mais vantajosa para a Administração, considerando aspectos de eficiência, economicidade, continuidade do serviço público, segurança dos usuários e atendimento à demanda da rede pública de ensino.</w:t>
      </w:r>
    </w:p>
    <w:p>
      <w:pPr>
        <w:pStyle w:val="Nivel01"/>
        <w:numPr>
          <w:ilvl w:val="0"/>
          <w:numId w:val="0"/>
        </w:numPr>
        <w:spacing w:before="0" w:after="0"/>
        <w:ind w:hanging="0" w:left="360"/>
        <w:rPr>
          <w:b w:val="false"/>
          <w:bCs w:val="false"/>
          <w:color w:val="auto"/>
          <w:sz w:val="18"/>
          <w:szCs w:val="18"/>
        </w:rPr>
      </w:pPr>
      <w:r>
        <w:rPr>
          <w:b w:val="false"/>
          <w:bCs w:val="false"/>
          <w:color w:val="auto"/>
          <w:sz w:val="18"/>
          <w:szCs w:val="18"/>
        </w:rPr>
        <w:t>4.3. A execução dos serviços compreenderá o transporte diário dos estudantes durante o calendário letivo, observando os itinerários, horários, quilometragens estimadas, tipos de veículos e demais especificações técnicas constantes deste Termo de Referência e de seus anexos.</w:t>
      </w:r>
    </w:p>
    <w:p>
      <w:pPr>
        <w:pStyle w:val="Nivel01"/>
        <w:numPr>
          <w:ilvl w:val="0"/>
          <w:numId w:val="0"/>
        </w:numPr>
        <w:spacing w:before="0" w:after="0"/>
        <w:ind w:hanging="0" w:left="360"/>
        <w:rPr>
          <w:b w:val="false"/>
          <w:bCs w:val="false"/>
          <w:color w:val="auto"/>
          <w:sz w:val="18"/>
          <w:szCs w:val="18"/>
        </w:rPr>
      </w:pPr>
      <w:r>
        <w:rPr>
          <w:b w:val="false"/>
          <w:bCs w:val="false"/>
          <w:color w:val="auto"/>
          <w:sz w:val="18"/>
          <w:szCs w:val="18"/>
        </w:rPr>
        <w:t>4.4. A solução contempla todas as etapas necessárias à adequada prestação dos serviços, incluindo o fornecimento de veículos em perfeitas condições de uso, motoristas legalmente habilitados, combustíveis, manutenção preventiva e corretiva, pneus, seguros, licenciamento, equipamentos obrigatórios, tributos, encargos trabalhistas, previdenciários e fiscais, bem como todas as demais despesas indispensáveis à perfeita execução contratual.</w:t>
      </w:r>
    </w:p>
    <w:p>
      <w:pPr>
        <w:pStyle w:val="Nivel01"/>
        <w:numPr>
          <w:ilvl w:val="0"/>
          <w:numId w:val="0"/>
        </w:numPr>
        <w:spacing w:before="0" w:after="0"/>
        <w:ind w:hanging="0" w:left="360"/>
        <w:rPr>
          <w:b w:val="false"/>
          <w:bCs w:val="false"/>
          <w:color w:val="auto"/>
          <w:sz w:val="18"/>
          <w:szCs w:val="18"/>
        </w:rPr>
      </w:pPr>
      <w:r>
        <w:rPr>
          <w:b w:val="false"/>
          <w:bCs w:val="false"/>
          <w:color w:val="auto"/>
          <w:sz w:val="18"/>
          <w:szCs w:val="18"/>
        </w:rPr>
        <w:t>4.5. Considerando o ciclo de vida do objeto, a solução adotada busca assegurar a continuidade do serviço, a segurança dos estudantes, a adequada manutenção da frota, a eficiência operacional, a redução de interrupções na prestação dos serviços e a otimização dos recursos públicos empregados na contratação.</w:t>
      </w:r>
    </w:p>
    <w:p>
      <w:pPr>
        <w:pStyle w:val="Nivel01"/>
        <w:numPr>
          <w:ilvl w:val="0"/>
          <w:numId w:val="0"/>
        </w:numPr>
        <w:spacing w:before="0" w:after="0"/>
        <w:ind w:hanging="0" w:left="360"/>
        <w:rPr>
          <w:b w:val="false"/>
          <w:bCs w:val="false"/>
          <w:color w:val="auto"/>
          <w:sz w:val="18"/>
          <w:szCs w:val="18"/>
        </w:rPr>
      </w:pPr>
      <w:r>
        <w:rPr>
          <w:b w:val="false"/>
          <w:bCs w:val="false"/>
          <w:color w:val="auto"/>
          <w:sz w:val="18"/>
          <w:szCs w:val="18"/>
        </w:rPr>
        <w:t>4.6. As especificações técnicas dos veículos, dos itinerários, das linhas, das quilometragens estimadas, da capacidade mínima de passageiros e dos demais requisitos operacionais encontram-se detalhadas neste Termo de Referência e em seus anexos.</w:t>
      </w:r>
    </w:p>
    <w:p>
      <w:pPr>
        <w:pStyle w:val="Nivel01"/>
        <w:numPr>
          <w:ilvl w:val="0"/>
          <w:numId w:val="0"/>
        </w:numPr>
        <w:spacing w:before="0" w:after="0"/>
        <w:ind w:hanging="0" w:left="360"/>
        <w:rPr>
          <w:b w:val="false"/>
          <w:bCs w:val="false"/>
          <w:color w:val="auto"/>
          <w:sz w:val="18"/>
          <w:szCs w:val="18"/>
        </w:rPr>
      </w:pPr>
      <w:r>
        <w:rPr>
          <w:b w:val="false"/>
          <w:bCs w:val="false"/>
          <w:color w:val="auto"/>
          <w:sz w:val="18"/>
          <w:szCs w:val="18"/>
        </w:rPr>
        <w:t>4.7. Durante toda a execução contratual, a contratada deverá adotar medidas destinadas à manutenção das condições de segurança, conforto, regularidade, pontualidade e continuidade dos serviços, observando a legislação de trânsito, as normas aplicáveis ao transporte escolar, as determinações da fiscalização contratual e os princípios da eficiência e da qualidade na prestação dos serviços.</w:t>
      </w:r>
    </w:p>
    <w:p>
      <w:pPr>
        <w:pStyle w:val="Nivel01"/>
        <w:numPr>
          <w:ilvl w:val="0"/>
          <w:numId w:val="0"/>
        </w:numPr>
        <w:spacing w:before="0" w:after="0"/>
        <w:ind w:hanging="0" w:left="0"/>
        <w:rPr>
          <w:color w:val="000000"/>
          <w:sz w:val="18"/>
          <w:szCs w:val="18"/>
        </w:rPr>
      </w:pPr>
      <w:r>
        <w:rPr>
          <w:color w:val="000000"/>
          <w:sz w:val="18"/>
          <w:szCs w:val="18"/>
        </w:rPr>
        <w:t>5 - REQUISITOS DA CONTRATAÇÃO</w:t>
      </w:r>
    </w:p>
    <w:p>
      <w:pPr>
        <w:pStyle w:val="Normal"/>
        <w:tabs>
          <w:tab w:val="clear" w:pos="708"/>
          <w:tab w:val="left" w:pos="284" w:leader="none"/>
          <w:tab w:val="left" w:pos="426" w:leader="none"/>
          <w:tab w:val="left" w:pos="567" w:leader="none"/>
          <w:tab w:val="left" w:pos="851" w:leader="none"/>
        </w:tabs>
        <w:spacing w:lineRule="auto" w:line="312"/>
        <w:jc w:val="both"/>
        <w:rPr>
          <w:rFonts w:ascii="Arial" w:hAnsi="Arial" w:cs="Arial"/>
          <w:iCs/>
          <w:sz w:val="18"/>
          <w:szCs w:val="18"/>
        </w:rPr>
      </w:pPr>
      <w:r>
        <w:rPr>
          <w:rFonts w:cs="Arial" w:ascii="Arial" w:hAnsi="Arial"/>
          <w:sz w:val="18"/>
          <w:szCs w:val="18"/>
        </w:rPr>
        <w:t>5.1 - A contratação deverá observar os seguintes requisitos:</w:t>
      </w:r>
    </w:p>
    <w:p>
      <w:pPr>
        <w:pStyle w:val="Nvel1-SemNum"/>
        <w:spacing w:before="0" w:after="0"/>
        <w:ind w:hanging="0" w:left="0"/>
        <w:rPr>
          <w:b w:val="false"/>
          <w:color w:val="auto"/>
          <w:sz w:val="18"/>
          <w:szCs w:val="18"/>
        </w:rPr>
      </w:pPr>
      <w:r>
        <w:rPr>
          <w:b w:val="false"/>
          <w:color w:val="auto"/>
          <w:sz w:val="18"/>
          <w:szCs w:val="18"/>
        </w:rPr>
        <w:t>5.1.1 - SUBCONTRATAÇÃO</w:t>
      </w:r>
    </w:p>
    <w:p>
      <w:pPr>
        <w:pStyle w:val="Nivel2"/>
        <w:numPr>
          <w:ilvl w:val="0"/>
          <w:numId w:val="0"/>
        </w:numPr>
        <w:spacing w:lineRule="auto" w:line="312" w:before="0" w:after="0"/>
        <w:ind w:hanging="0" w:left="708"/>
        <w:rPr>
          <w:color w:val="auto"/>
          <w:sz w:val="18"/>
          <w:szCs w:val="18"/>
        </w:rPr>
      </w:pPr>
      <w:r>
        <w:rPr>
          <w:color w:val="auto"/>
          <w:sz w:val="18"/>
          <w:szCs w:val="18"/>
        </w:rPr>
        <w:t>5.1.1.1 - Não é admitida a subcontratação do objeto contratual.</w:t>
      </w:r>
    </w:p>
    <w:p>
      <w:pPr>
        <w:pStyle w:val="Nvel1-SemNum"/>
        <w:spacing w:before="0" w:after="0"/>
        <w:ind w:hanging="0" w:left="0"/>
        <w:rPr>
          <w:b w:val="false"/>
          <w:color w:val="auto"/>
          <w:sz w:val="18"/>
          <w:szCs w:val="18"/>
        </w:rPr>
      </w:pPr>
      <w:r>
        <w:rPr>
          <w:b w:val="false"/>
          <w:color w:val="auto"/>
          <w:sz w:val="18"/>
          <w:szCs w:val="18"/>
        </w:rPr>
        <w:t>5.1.2 - GARANTIA DA CONTRATAÇÃO</w:t>
      </w:r>
    </w:p>
    <w:p>
      <w:pPr>
        <w:pStyle w:val="Nvel2-Red"/>
        <w:numPr>
          <w:ilvl w:val="0"/>
          <w:numId w:val="0"/>
        </w:numPr>
        <w:spacing w:lineRule="auto" w:line="312" w:before="0" w:after="0"/>
        <w:ind w:hanging="0" w:left="708"/>
        <w:rPr>
          <w:i w:val="false"/>
          <w:iCs w:val="false"/>
          <w:color w:val="auto"/>
          <w:sz w:val="18"/>
          <w:szCs w:val="18"/>
        </w:rPr>
      </w:pPr>
      <w:r>
        <w:rPr>
          <w:i w:val="false"/>
          <w:iCs w:val="false"/>
          <w:color w:val="auto"/>
          <w:sz w:val="18"/>
          <w:szCs w:val="18"/>
        </w:rPr>
        <w:t>5.1.2.1 - Não haverá exigência da garantia da contratação dos artigos 96 e seguintes da Lei nº 14.133, de 2021.</w:t>
      </w:r>
    </w:p>
    <w:p>
      <w:pPr>
        <w:pStyle w:val="Nvel2-Red"/>
        <w:numPr>
          <w:ilvl w:val="0"/>
          <w:numId w:val="0"/>
        </w:numPr>
        <w:spacing w:lineRule="auto" w:line="312" w:before="0" w:after="0"/>
        <w:ind w:hanging="0" w:left="0"/>
        <w:rPr>
          <w:b/>
          <w:bCs/>
          <w:i w:val="false"/>
          <w:iCs w:val="false"/>
          <w:color w:val="auto"/>
          <w:sz w:val="18"/>
          <w:szCs w:val="18"/>
        </w:rPr>
      </w:pPr>
      <w:r>
        <w:rPr>
          <w:b/>
          <w:bCs/>
          <w:i w:val="false"/>
          <w:iCs w:val="false"/>
          <w:color w:val="auto"/>
          <w:sz w:val="18"/>
          <w:szCs w:val="18"/>
        </w:rPr>
        <w:t>5.2 REQUISITOS MÍNIMOS DOS VEÍCULOS</w:t>
      </w:r>
    </w:p>
    <w:p>
      <w:pPr>
        <w:pStyle w:val="Nvel2-Red"/>
        <w:numPr>
          <w:ilvl w:val="0"/>
          <w:numId w:val="26"/>
        </w:numPr>
        <w:spacing w:lineRule="auto" w:line="312" w:before="0" w:after="0"/>
        <w:rPr>
          <w:i w:val="false"/>
          <w:iCs w:val="false"/>
          <w:color w:val="auto"/>
          <w:sz w:val="18"/>
          <w:szCs w:val="18"/>
        </w:rPr>
      </w:pPr>
      <w:r>
        <w:rPr>
          <w:i w:val="false"/>
          <w:iCs w:val="false"/>
          <w:color w:val="auto"/>
          <w:sz w:val="18"/>
          <w:szCs w:val="18"/>
        </w:rPr>
        <w:t xml:space="preserve">idade máxima das vans (10 anos); </w:t>
      </w:r>
    </w:p>
    <w:p>
      <w:pPr>
        <w:pStyle w:val="Nvel2-Red"/>
        <w:numPr>
          <w:ilvl w:val="0"/>
          <w:numId w:val="26"/>
        </w:numPr>
        <w:spacing w:lineRule="auto" w:line="312" w:before="0" w:after="0"/>
        <w:rPr>
          <w:i w:val="false"/>
          <w:iCs w:val="false"/>
          <w:color w:val="auto"/>
          <w:sz w:val="18"/>
          <w:szCs w:val="18"/>
        </w:rPr>
      </w:pPr>
      <w:r>
        <w:rPr>
          <w:i w:val="false"/>
          <w:iCs w:val="false"/>
          <w:color w:val="auto"/>
          <w:sz w:val="18"/>
          <w:szCs w:val="18"/>
        </w:rPr>
        <w:t xml:space="preserve">idade máxima dos ônibus (15 anos); </w:t>
      </w:r>
    </w:p>
    <w:p>
      <w:pPr>
        <w:pStyle w:val="Nvel2-Red"/>
        <w:numPr>
          <w:ilvl w:val="0"/>
          <w:numId w:val="26"/>
        </w:numPr>
        <w:spacing w:lineRule="auto" w:line="312" w:before="0" w:after="0"/>
        <w:rPr>
          <w:i w:val="false"/>
          <w:iCs w:val="false"/>
          <w:color w:val="auto"/>
          <w:sz w:val="18"/>
          <w:szCs w:val="18"/>
        </w:rPr>
      </w:pPr>
      <w:r>
        <w:rPr>
          <w:i w:val="false"/>
          <w:iCs w:val="false"/>
          <w:color w:val="auto"/>
          <w:sz w:val="18"/>
          <w:szCs w:val="18"/>
        </w:rPr>
        <w:t xml:space="preserve">categoria dos veículos; </w:t>
      </w:r>
    </w:p>
    <w:p>
      <w:pPr>
        <w:pStyle w:val="Nvel2-Red"/>
        <w:numPr>
          <w:ilvl w:val="0"/>
          <w:numId w:val="26"/>
        </w:numPr>
        <w:spacing w:lineRule="auto" w:line="312" w:before="0" w:after="0"/>
        <w:rPr>
          <w:i w:val="false"/>
          <w:iCs w:val="false"/>
          <w:color w:val="auto"/>
          <w:sz w:val="18"/>
          <w:szCs w:val="18"/>
        </w:rPr>
      </w:pPr>
      <w:r>
        <w:rPr>
          <w:i w:val="false"/>
          <w:iCs w:val="false"/>
          <w:color w:val="auto"/>
          <w:sz w:val="18"/>
          <w:szCs w:val="18"/>
        </w:rPr>
        <w:t xml:space="preserve">capacidade mínima; </w:t>
      </w:r>
    </w:p>
    <w:p>
      <w:pPr>
        <w:pStyle w:val="Nvel2-Red"/>
        <w:numPr>
          <w:ilvl w:val="0"/>
          <w:numId w:val="26"/>
        </w:numPr>
        <w:spacing w:lineRule="auto" w:line="312" w:before="0" w:after="0"/>
        <w:rPr>
          <w:i w:val="false"/>
          <w:iCs w:val="false"/>
          <w:color w:val="auto"/>
          <w:sz w:val="18"/>
          <w:szCs w:val="18"/>
        </w:rPr>
      </w:pPr>
      <w:r>
        <w:rPr>
          <w:i w:val="false"/>
          <w:iCs w:val="false"/>
          <w:color w:val="auto"/>
          <w:sz w:val="18"/>
          <w:szCs w:val="18"/>
        </w:rPr>
        <w:t xml:space="preserve">cintos de segurança; </w:t>
      </w:r>
    </w:p>
    <w:p>
      <w:pPr>
        <w:pStyle w:val="Nvel2-Red"/>
        <w:numPr>
          <w:ilvl w:val="0"/>
          <w:numId w:val="26"/>
        </w:numPr>
        <w:spacing w:lineRule="auto" w:line="312" w:before="0" w:after="0"/>
        <w:rPr>
          <w:i w:val="false"/>
          <w:iCs w:val="false"/>
          <w:color w:val="auto"/>
          <w:sz w:val="18"/>
          <w:szCs w:val="18"/>
        </w:rPr>
      </w:pPr>
      <w:r>
        <w:rPr>
          <w:i w:val="false"/>
          <w:iCs w:val="false"/>
          <w:color w:val="auto"/>
          <w:sz w:val="18"/>
          <w:szCs w:val="18"/>
        </w:rPr>
        <w:t xml:space="preserve">tacógrafo; </w:t>
      </w:r>
    </w:p>
    <w:p>
      <w:pPr>
        <w:pStyle w:val="Nvel2-Red"/>
        <w:numPr>
          <w:ilvl w:val="0"/>
          <w:numId w:val="26"/>
        </w:numPr>
        <w:spacing w:lineRule="auto" w:line="312" w:before="0" w:after="0"/>
        <w:rPr>
          <w:i w:val="false"/>
          <w:iCs w:val="false"/>
          <w:color w:val="auto"/>
          <w:sz w:val="18"/>
          <w:szCs w:val="18"/>
        </w:rPr>
      </w:pPr>
      <w:r>
        <w:rPr>
          <w:i w:val="false"/>
          <w:iCs w:val="false"/>
          <w:color w:val="auto"/>
          <w:sz w:val="18"/>
          <w:szCs w:val="18"/>
        </w:rPr>
        <w:t xml:space="preserve">faixa escolar; </w:t>
      </w:r>
    </w:p>
    <w:p>
      <w:pPr>
        <w:pStyle w:val="Nvel2-Red"/>
        <w:numPr>
          <w:ilvl w:val="0"/>
          <w:numId w:val="26"/>
        </w:numPr>
        <w:spacing w:lineRule="auto" w:line="312" w:before="0" w:after="0"/>
        <w:rPr>
          <w:i w:val="false"/>
          <w:iCs w:val="false"/>
          <w:color w:val="auto"/>
          <w:sz w:val="18"/>
          <w:szCs w:val="18"/>
        </w:rPr>
      </w:pPr>
      <w:r>
        <w:rPr>
          <w:i w:val="false"/>
          <w:iCs w:val="false"/>
          <w:color w:val="auto"/>
          <w:sz w:val="18"/>
          <w:szCs w:val="18"/>
        </w:rPr>
        <w:t xml:space="preserve">equipamentos obrigatórios; </w:t>
      </w:r>
    </w:p>
    <w:p>
      <w:pPr>
        <w:pStyle w:val="Nvel2-Red"/>
        <w:numPr>
          <w:ilvl w:val="0"/>
          <w:numId w:val="26"/>
        </w:numPr>
        <w:spacing w:lineRule="auto" w:line="312" w:before="0" w:after="0"/>
        <w:rPr>
          <w:i w:val="false"/>
          <w:iCs w:val="false"/>
          <w:color w:val="auto"/>
          <w:sz w:val="18"/>
          <w:szCs w:val="18"/>
        </w:rPr>
      </w:pPr>
      <w:r>
        <w:rPr>
          <w:i w:val="false"/>
          <w:iCs w:val="false"/>
          <w:color w:val="auto"/>
          <w:sz w:val="18"/>
          <w:szCs w:val="18"/>
        </w:rPr>
        <w:t xml:space="preserve">acessibilidade, quando exigida; </w:t>
      </w:r>
    </w:p>
    <w:p>
      <w:pPr>
        <w:pStyle w:val="Nvel2-Red"/>
        <w:numPr>
          <w:ilvl w:val="0"/>
          <w:numId w:val="26"/>
        </w:numPr>
        <w:spacing w:lineRule="auto" w:line="312" w:before="0" w:after="0"/>
        <w:rPr>
          <w:i w:val="false"/>
          <w:iCs w:val="false"/>
          <w:color w:val="auto"/>
          <w:sz w:val="18"/>
          <w:szCs w:val="18"/>
        </w:rPr>
      </w:pPr>
      <w:r>
        <w:rPr>
          <w:i w:val="false"/>
          <w:iCs w:val="false"/>
          <w:color w:val="auto"/>
          <w:sz w:val="18"/>
          <w:szCs w:val="18"/>
        </w:rPr>
        <w:t xml:space="preserve">seguro; </w:t>
      </w:r>
    </w:p>
    <w:p>
      <w:pPr>
        <w:pStyle w:val="Nvel2-Red"/>
        <w:numPr>
          <w:ilvl w:val="0"/>
          <w:numId w:val="26"/>
        </w:numPr>
        <w:spacing w:lineRule="auto" w:line="312" w:before="0" w:after="0"/>
        <w:rPr>
          <w:i w:val="false"/>
          <w:iCs w:val="false"/>
          <w:color w:val="auto"/>
          <w:sz w:val="18"/>
          <w:szCs w:val="18"/>
        </w:rPr>
      </w:pPr>
      <w:r>
        <w:rPr>
          <w:i w:val="false"/>
          <w:iCs w:val="false"/>
          <w:color w:val="auto"/>
          <w:sz w:val="18"/>
          <w:szCs w:val="18"/>
        </w:rPr>
        <w:t xml:space="preserve">licenciamento; </w:t>
      </w:r>
    </w:p>
    <w:p>
      <w:pPr>
        <w:pStyle w:val="Nvel2-Red"/>
        <w:numPr>
          <w:ilvl w:val="0"/>
          <w:numId w:val="26"/>
        </w:numPr>
        <w:spacing w:lineRule="auto" w:line="312" w:before="0" w:after="0"/>
        <w:rPr>
          <w:i w:val="false"/>
          <w:iCs w:val="false"/>
          <w:color w:val="auto"/>
          <w:sz w:val="18"/>
          <w:szCs w:val="18"/>
        </w:rPr>
      </w:pPr>
      <w:r>
        <w:rPr>
          <w:i w:val="false"/>
          <w:iCs w:val="false"/>
          <w:color w:val="auto"/>
          <w:sz w:val="18"/>
          <w:szCs w:val="18"/>
        </w:rPr>
        <w:t xml:space="preserve">autorização para transporte escolar; </w:t>
      </w:r>
    </w:p>
    <w:p>
      <w:pPr>
        <w:pStyle w:val="Nvel2-Red"/>
        <w:numPr>
          <w:ilvl w:val="0"/>
          <w:numId w:val="26"/>
        </w:numPr>
        <w:spacing w:lineRule="auto" w:line="312" w:before="0" w:after="0"/>
        <w:rPr>
          <w:i w:val="false"/>
          <w:iCs w:val="false"/>
          <w:color w:val="auto"/>
          <w:sz w:val="18"/>
          <w:szCs w:val="18"/>
        </w:rPr>
      </w:pPr>
      <w:r>
        <w:rPr>
          <w:i w:val="false"/>
          <w:iCs w:val="false"/>
          <w:color w:val="auto"/>
          <w:sz w:val="18"/>
          <w:szCs w:val="18"/>
        </w:rPr>
        <w:t>documentação regular.</w:t>
      </w:r>
    </w:p>
    <w:p>
      <w:pPr>
        <w:pStyle w:val="Nvel2-Red"/>
        <w:numPr>
          <w:ilvl w:val="1"/>
          <w:numId w:val="28"/>
        </w:numPr>
        <w:spacing w:lineRule="auto" w:line="312" w:before="0" w:after="0"/>
        <w:ind w:hanging="360" w:left="426"/>
        <w:rPr>
          <w:b/>
          <w:bCs/>
          <w:i w:val="false"/>
          <w:iCs w:val="false"/>
          <w:color w:val="auto"/>
          <w:sz w:val="18"/>
          <w:szCs w:val="18"/>
        </w:rPr>
      </w:pPr>
      <w:r>
        <w:rPr>
          <w:b/>
          <w:bCs/>
          <w:i w:val="false"/>
          <w:iCs w:val="false"/>
          <w:color w:val="auto"/>
          <w:sz w:val="18"/>
          <w:szCs w:val="18"/>
        </w:rPr>
        <w:t>REQUISITOS DOS MOTORISTAS</w:t>
      </w:r>
    </w:p>
    <w:p>
      <w:pPr>
        <w:pStyle w:val="Nvel2-Red"/>
        <w:numPr>
          <w:ilvl w:val="0"/>
          <w:numId w:val="27"/>
        </w:numPr>
        <w:spacing w:lineRule="auto" w:line="312" w:before="0" w:after="0"/>
        <w:rPr>
          <w:i w:val="false"/>
          <w:iCs w:val="false"/>
          <w:color w:val="auto"/>
          <w:sz w:val="18"/>
          <w:szCs w:val="18"/>
        </w:rPr>
      </w:pPr>
      <w:r>
        <w:rPr>
          <w:i w:val="false"/>
          <w:iCs w:val="false"/>
          <w:color w:val="auto"/>
          <w:sz w:val="18"/>
          <w:szCs w:val="18"/>
        </w:rPr>
        <w:t xml:space="preserve">CNH categoria D ou superior; </w:t>
      </w:r>
    </w:p>
    <w:p>
      <w:pPr>
        <w:pStyle w:val="Nvel2-Red"/>
        <w:numPr>
          <w:ilvl w:val="0"/>
          <w:numId w:val="27"/>
        </w:numPr>
        <w:spacing w:lineRule="auto" w:line="312" w:before="0" w:after="0"/>
        <w:rPr>
          <w:i w:val="false"/>
          <w:iCs w:val="false"/>
          <w:color w:val="auto"/>
          <w:sz w:val="18"/>
          <w:szCs w:val="18"/>
        </w:rPr>
      </w:pPr>
      <w:r>
        <w:rPr>
          <w:i w:val="false"/>
          <w:iCs w:val="false"/>
          <w:color w:val="auto"/>
          <w:sz w:val="18"/>
          <w:szCs w:val="18"/>
        </w:rPr>
        <w:t xml:space="preserve">curso de transporte escolar; </w:t>
      </w:r>
    </w:p>
    <w:p>
      <w:pPr>
        <w:pStyle w:val="Nvel2-Red"/>
        <w:numPr>
          <w:ilvl w:val="0"/>
          <w:numId w:val="27"/>
        </w:numPr>
        <w:spacing w:lineRule="auto" w:line="312" w:before="0" w:after="0"/>
        <w:rPr>
          <w:i w:val="false"/>
          <w:iCs w:val="false"/>
          <w:color w:val="auto"/>
          <w:sz w:val="18"/>
          <w:szCs w:val="18"/>
        </w:rPr>
      </w:pPr>
      <w:r>
        <w:rPr>
          <w:i w:val="false"/>
          <w:iCs w:val="false"/>
          <w:color w:val="auto"/>
          <w:sz w:val="18"/>
          <w:szCs w:val="18"/>
        </w:rPr>
        <w:t xml:space="preserve">certidões exigidas; </w:t>
      </w:r>
    </w:p>
    <w:p>
      <w:pPr>
        <w:pStyle w:val="Nvel2-Red"/>
        <w:numPr>
          <w:ilvl w:val="0"/>
          <w:numId w:val="27"/>
        </w:numPr>
        <w:spacing w:lineRule="auto" w:line="312" w:before="0" w:after="0"/>
        <w:rPr>
          <w:i w:val="false"/>
          <w:iCs w:val="false"/>
          <w:color w:val="auto"/>
          <w:sz w:val="18"/>
          <w:szCs w:val="18"/>
        </w:rPr>
      </w:pPr>
      <w:r>
        <w:rPr>
          <w:i w:val="false"/>
          <w:iCs w:val="false"/>
          <w:color w:val="auto"/>
          <w:sz w:val="18"/>
          <w:szCs w:val="18"/>
        </w:rPr>
        <w:t xml:space="preserve">exame toxicológico quando exigido; </w:t>
      </w:r>
    </w:p>
    <w:p>
      <w:pPr>
        <w:pStyle w:val="Nvel2-Red"/>
        <w:numPr>
          <w:ilvl w:val="0"/>
          <w:numId w:val="27"/>
        </w:numPr>
        <w:spacing w:lineRule="auto" w:line="312" w:before="0" w:after="0"/>
        <w:rPr>
          <w:i w:val="false"/>
          <w:iCs w:val="false"/>
          <w:color w:val="auto"/>
          <w:sz w:val="18"/>
          <w:szCs w:val="18"/>
        </w:rPr>
      </w:pPr>
      <w:r>
        <w:rPr>
          <w:i w:val="false"/>
          <w:iCs w:val="false"/>
          <w:color w:val="auto"/>
          <w:sz w:val="18"/>
          <w:szCs w:val="18"/>
        </w:rPr>
        <w:t>inexistência de impedimentos legais.</w:t>
      </w:r>
    </w:p>
    <w:p>
      <w:pPr>
        <w:pStyle w:val="Nvel2-Red"/>
        <w:numPr>
          <w:ilvl w:val="0"/>
          <w:numId w:val="0"/>
        </w:numPr>
        <w:spacing w:lineRule="auto" w:line="312" w:before="0" w:after="0"/>
        <w:ind w:hanging="0" w:left="284"/>
        <w:rPr>
          <w:b/>
          <w:bCs/>
          <w:i w:val="false"/>
          <w:iCs w:val="false"/>
          <w:color w:val="auto"/>
          <w:sz w:val="18"/>
          <w:szCs w:val="18"/>
        </w:rPr>
      </w:pPr>
      <w:r>
        <w:rPr>
          <w:b/>
          <w:bCs/>
          <w:i w:val="false"/>
          <w:iCs w:val="false"/>
          <w:color w:val="auto"/>
          <w:sz w:val="18"/>
          <w:szCs w:val="18"/>
        </w:rPr>
        <w:t>5.4 VISTORIAS</w:t>
      </w:r>
    </w:p>
    <w:p>
      <w:pPr>
        <w:pStyle w:val="Nvel2-Red"/>
        <w:numPr>
          <w:ilvl w:val="0"/>
          <w:numId w:val="29"/>
        </w:numPr>
        <w:spacing w:lineRule="auto" w:line="312" w:before="0" w:after="0"/>
        <w:rPr>
          <w:i w:val="false"/>
          <w:iCs w:val="false"/>
          <w:color w:val="auto"/>
          <w:sz w:val="18"/>
          <w:szCs w:val="18"/>
        </w:rPr>
      </w:pPr>
      <w:r>
        <w:rPr>
          <w:i w:val="false"/>
          <w:iCs w:val="false"/>
          <w:color w:val="auto"/>
          <w:sz w:val="18"/>
          <w:szCs w:val="18"/>
        </w:rPr>
        <w:t xml:space="preserve">CREA; </w:t>
      </w:r>
    </w:p>
    <w:p>
      <w:pPr>
        <w:pStyle w:val="Nvel2-Red"/>
        <w:numPr>
          <w:ilvl w:val="0"/>
          <w:numId w:val="29"/>
        </w:numPr>
        <w:spacing w:lineRule="auto" w:line="312" w:before="0" w:after="0"/>
        <w:rPr>
          <w:i w:val="false"/>
          <w:iCs w:val="false"/>
          <w:color w:val="auto"/>
          <w:sz w:val="18"/>
          <w:szCs w:val="18"/>
        </w:rPr>
      </w:pPr>
      <w:r>
        <w:rPr>
          <w:i w:val="false"/>
          <w:iCs w:val="false"/>
          <w:color w:val="auto"/>
          <w:sz w:val="18"/>
          <w:szCs w:val="18"/>
        </w:rPr>
        <w:t xml:space="preserve">DEMUTRAN; </w:t>
      </w:r>
    </w:p>
    <w:p>
      <w:pPr>
        <w:pStyle w:val="Nvel2-Red"/>
        <w:numPr>
          <w:ilvl w:val="0"/>
          <w:numId w:val="29"/>
        </w:numPr>
        <w:spacing w:lineRule="auto" w:line="312" w:before="0" w:after="0"/>
        <w:rPr>
          <w:i w:val="false"/>
          <w:iCs w:val="false"/>
          <w:color w:val="auto"/>
          <w:sz w:val="18"/>
          <w:szCs w:val="18"/>
        </w:rPr>
      </w:pPr>
      <w:r>
        <w:rPr>
          <w:i w:val="false"/>
          <w:iCs w:val="false"/>
          <w:color w:val="auto"/>
          <w:sz w:val="18"/>
          <w:szCs w:val="18"/>
        </w:rPr>
        <w:t>demais inspeções.</w:t>
      </w:r>
    </w:p>
    <w:p>
      <w:pPr>
        <w:pStyle w:val="Nvel2-Red"/>
        <w:numPr>
          <w:ilvl w:val="0"/>
          <w:numId w:val="0"/>
        </w:numPr>
        <w:spacing w:lineRule="auto" w:line="312" w:before="0" w:after="0"/>
        <w:ind w:hanging="0" w:left="708"/>
        <w:rPr>
          <w:iCs w:val="false"/>
          <w:sz w:val="18"/>
          <w:szCs w:val="18"/>
        </w:rPr>
      </w:pPr>
      <w:r>
        <w:rPr>
          <w:iCs w:val="false"/>
          <w:sz w:val="18"/>
          <w:szCs w:val="18"/>
        </w:rPr>
      </w:r>
    </w:p>
    <w:p>
      <w:pPr>
        <w:pStyle w:val="Nivel01"/>
        <w:numPr>
          <w:ilvl w:val="0"/>
          <w:numId w:val="0"/>
        </w:numPr>
        <w:spacing w:before="0" w:after="0"/>
        <w:ind w:hanging="0" w:left="0"/>
        <w:rPr>
          <w:color w:val="000000"/>
          <w:sz w:val="18"/>
          <w:szCs w:val="18"/>
        </w:rPr>
      </w:pPr>
      <w:r>
        <w:rPr>
          <w:color w:val="000000"/>
          <w:sz w:val="18"/>
          <w:szCs w:val="18"/>
        </w:rPr>
        <w:t xml:space="preserve">6 – </w:t>
      </w:r>
      <w:r>
        <w:rPr>
          <w:rFonts w:eastAsia="Calibri"/>
          <w:color w:val="000000"/>
          <w:sz w:val="18"/>
          <w:szCs w:val="18"/>
        </w:rPr>
        <w:t>MODELO DE EXECUÇÃO DO OBJETO</w:t>
      </w:r>
    </w:p>
    <w:p>
      <w:pPr>
        <w:pStyle w:val="Normal"/>
        <w:widowControl w:val="false"/>
        <w:spacing w:lineRule="auto" w:line="312"/>
        <w:jc w:val="both"/>
        <w:rPr>
          <w:rFonts w:ascii="Arial" w:hAnsi="Arial" w:eastAsia="Calibri" w:cs="Arial"/>
          <w:bCs/>
          <w:sz w:val="18"/>
          <w:szCs w:val="18"/>
        </w:rPr>
      </w:pPr>
      <w:r>
        <w:rPr>
          <w:rFonts w:eastAsia="Calibri" w:cs="Arial" w:ascii="Arial" w:hAnsi="Arial"/>
          <w:bCs/>
          <w:sz w:val="18"/>
          <w:szCs w:val="18"/>
        </w:rPr>
        <w:t>6.1 - PRAZO DE EXECUÇÃO</w:t>
      </w:r>
    </w:p>
    <w:p>
      <w:pPr>
        <w:pStyle w:val="Normal"/>
        <w:widowControl w:val="false"/>
        <w:spacing w:lineRule="auto" w:line="312"/>
        <w:ind w:left="567"/>
        <w:jc w:val="both"/>
        <w:rPr>
          <w:rFonts w:ascii="Arial" w:hAnsi="Arial" w:cs="Arial"/>
          <w:bCs/>
          <w:sz w:val="18"/>
          <w:szCs w:val="18"/>
        </w:rPr>
      </w:pPr>
      <w:r>
        <w:rPr>
          <w:rFonts w:cs="Arial" w:ascii="Arial" w:hAnsi="Arial"/>
          <w:b/>
          <w:bCs/>
          <w:sz w:val="18"/>
          <w:szCs w:val="18"/>
        </w:rPr>
        <w:t>6.1.1.</w:t>
      </w:r>
      <w:r>
        <w:rPr>
          <w:rFonts w:cs="Arial" w:ascii="Arial" w:hAnsi="Arial"/>
          <w:bCs/>
          <w:sz w:val="18"/>
          <w:szCs w:val="18"/>
        </w:rPr>
        <w:t xml:space="preserve"> A execução dos serviços terá início na data estabelecida na Ordem de Serviço emitida pela Administração, observando o calendário letivo da Secretaria Municipal de Educação.</w:t>
      </w:r>
    </w:p>
    <w:p>
      <w:pPr>
        <w:pStyle w:val="Normal"/>
        <w:widowControl w:val="false"/>
        <w:spacing w:lineRule="auto" w:line="312"/>
        <w:ind w:left="567"/>
        <w:jc w:val="both"/>
        <w:rPr>
          <w:rFonts w:ascii="Arial" w:hAnsi="Arial" w:cs="Arial"/>
          <w:bCs/>
          <w:sz w:val="18"/>
          <w:szCs w:val="18"/>
        </w:rPr>
      </w:pPr>
      <w:r>
        <w:rPr>
          <w:rFonts w:cs="Arial" w:ascii="Arial" w:hAnsi="Arial"/>
          <w:b/>
          <w:bCs/>
          <w:sz w:val="18"/>
          <w:szCs w:val="18"/>
        </w:rPr>
        <w:t>6.1.2.</w:t>
      </w:r>
      <w:r>
        <w:rPr>
          <w:rFonts w:cs="Arial" w:ascii="Arial" w:hAnsi="Arial"/>
          <w:bCs/>
          <w:sz w:val="18"/>
          <w:szCs w:val="18"/>
        </w:rPr>
        <w:t xml:space="preserve"> Os serviços deverão ser prestados diariamente, nos dias letivos, durante toda a vigência contratual, conforme os itinerários, horários, turnos e demais especificações constantes neste Termo de Referência e em seus anexos.</w:t>
      </w:r>
    </w:p>
    <w:p>
      <w:pPr>
        <w:pStyle w:val="Normal"/>
        <w:widowControl w:val="false"/>
        <w:spacing w:lineRule="auto" w:line="312"/>
        <w:ind w:left="567"/>
        <w:jc w:val="both"/>
        <w:rPr>
          <w:rFonts w:ascii="Arial" w:hAnsi="Arial" w:cs="Arial"/>
          <w:bCs/>
          <w:sz w:val="18"/>
          <w:szCs w:val="18"/>
        </w:rPr>
      </w:pPr>
      <w:r>
        <w:rPr>
          <w:rFonts w:cs="Arial" w:ascii="Arial" w:hAnsi="Arial"/>
          <w:b/>
          <w:bCs/>
          <w:sz w:val="18"/>
          <w:szCs w:val="18"/>
        </w:rPr>
        <w:t>6.1.3.</w:t>
      </w:r>
      <w:r>
        <w:rPr>
          <w:rFonts w:cs="Arial" w:ascii="Arial" w:hAnsi="Arial"/>
          <w:bCs/>
          <w:sz w:val="18"/>
          <w:szCs w:val="18"/>
        </w:rPr>
        <w:t xml:space="preserve"> Caso a contratada verifique a impossibilidade de iniciar ou manter a execução dos serviços, deverá comunicar formalmente à Administração, de forma imediata, apresentando as justificativas pertinentes, sem prejuízo da adoção das medidas necessárias para assegurar a continuidade do transporte escolar.</w:t>
      </w:r>
    </w:p>
    <w:p>
      <w:pPr>
        <w:pStyle w:val="Normal"/>
        <w:widowControl w:val="false"/>
        <w:spacing w:lineRule="auto" w:line="312"/>
        <w:ind w:left="567"/>
        <w:jc w:val="both"/>
        <w:rPr>
          <w:rFonts w:ascii="Arial" w:hAnsi="Arial" w:cs="Arial"/>
          <w:bCs/>
          <w:sz w:val="18"/>
          <w:szCs w:val="18"/>
        </w:rPr>
      </w:pPr>
      <w:r>
        <w:rPr>
          <w:rFonts w:cs="Arial" w:ascii="Arial" w:hAnsi="Arial"/>
          <w:b/>
          <w:bCs/>
          <w:sz w:val="18"/>
          <w:szCs w:val="18"/>
        </w:rPr>
        <w:t>6.1.4.</w:t>
      </w:r>
      <w:r>
        <w:rPr>
          <w:rFonts w:cs="Arial" w:ascii="Arial" w:hAnsi="Arial"/>
          <w:bCs/>
          <w:sz w:val="18"/>
          <w:szCs w:val="18"/>
        </w:rPr>
        <w:t xml:space="preserve"> A ocorrência de caso fortuito ou força maior deverá ser comunicada imediatamente à fiscalização do contrato, acompanhada da documentação comprobatória, para análise das providências cabíveis.</w:t>
      </w:r>
    </w:p>
    <w:p>
      <w:pPr>
        <w:pStyle w:val="Normal"/>
        <w:widowControl w:val="false"/>
        <w:tabs>
          <w:tab w:val="clear" w:pos="708"/>
          <w:tab w:val="left" w:pos="851" w:leader="none"/>
        </w:tabs>
        <w:spacing w:lineRule="auto" w:line="312"/>
        <w:jc w:val="both"/>
        <w:rPr>
          <w:rFonts w:ascii="Arial" w:hAnsi="Arial" w:cs="Arial"/>
          <w:sz w:val="18"/>
          <w:szCs w:val="18"/>
        </w:rPr>
      </w:pPr>
      <w:r>
        <w:rPr>
          <w:rFonts w:eastAsia="Calibri" w:cs="Arial" w:ascii="Arial" w:hAnsi="Arial"/>
          <w:sz w:val="18"/>
          <w:szCs w:val="18"/>
        </w:rPr>
        <w:t>6.2 - LOCAL DE EXECUÇÃO</w:t>
      </w:r>
    </w:p>
    <w:p>
      <w:pPr>
        <w:pStyle w:val="Nvel2-Red"/>
        <w:numPr>
          <w:ilvl w:val="0"/>
          <w:numId w:val="0"/>
        </w:numPr>
        <w:spacing w:lineRule="auto" w:line="312" w:before="0" w:after="0"/>
        <w:ind w:hanging="0" w:left="567"/>
        <w:rPr>
          <w:i w:val="false"/>
          <w:iCs w:val="false"/>
          <w:color w:val="auto"/>
          <w:sz w:val="18"/>
          <w:szCs w:val="18"/>
        </w:rPr>
      </w:pPr>
      <w:r>
        <w:rPr>
          <w:b/>
          <w:bCs/>
          <w:i w:val="false"/>
          <w:iCs w:val="false"/>
          <w:color w:val="auto"/>
          <w:sz w:val="18"/>
          <w:szCs w:val="18"/>
        </w:rPr>
        <w:t>6.2.1.</w:t>
      </w:r>
      <w:r>
        <w:rPr>
          <w:i w:val="false"/>
          <w:iCs w:val="false"/>
          <w:color w:val="auto"/>
          <w:sz w:val="18"/>
          <w:szCs w:val="18"/>
        </w:rPr>
        <w:t xml:space="preserve"> Os serviços serão executados nos itinerários definidos pela Secretaria Municipal de Educação, conforme as linhas, quilometragens estimadas, turnos, pontos de embarque e desembarque e demais informações constantes dos anexos deste Termo de Referência.</w:t>
      </w:r>
    </w:p>
    <w:p>
      <w:pPr>
        <w:pStyle w:val="Nvel2-Red"/>
        <w:numPr>
          <w:ilvl w:val="0"/>
          <w:numId w:val="0"/>
        </w:numPr>
        <w:spacing w:lineRule="auto" w:line="312" w:before="0" w:after="0"/>
        <w:ind w:hanging="0" w:left="567"/>
        <w:rPr>
          <w:sz w:val="18"/>
          <w:szCs w:val="18"/>
        </w:rPr>
      </w:pPr>
      <w:r>
        <w:rPr>
          <w:b/>
          <w:bCs/>
          <w:i w:val="false"/>
          <w:iCs w:val="false"/>
          <w:color w:val="auto"/>
          <w:sz w:val="18"/>
          <w:szCs w:val="18"/>
        </w:rPr>
        <w:t>6.2.2.</w:t>
      </w:r>
      <w:r>
        <w:rPr>
          <w:i w:val="false"/>
          <w:iCs w:val="false"/>
          <w:color w:val="auto"/>
          <w:sz w:val="18"/>
          <w:szCs w:val="18"/>
        </w:rPr>
        <w:t xml:space="preserve"> A Administração poderá promover alterações nos itinerários, horários, pontos de embarque e desembarque, quantitativo de alunos ou quilometragem estimada, sempre que houver necessidade decorrente do calendário escolar ou da organização da rede municipal de ensino, observados os limites legais</w:t>
      </w:r>
      <w:r>
        <w:rPr>
          <w:sz w:val="18"/>
          <w:szCs w:val="18"/>
        </w:rPr>
        <w:t>.</w:t>
      </w:r>
    </w:p>
    <w:p>
      <w:pPr>
        <w:pStyle w:val="Nvel2-Red"/>
        <w:numPr>
          <w:ilvl w:val="0"/>
          <w:numId w:val="0"/>
        </w:numPr>
        <w:spacing w:lineRule="auto" w:line="312" w:before="0" w:after="0"/>
        <w:ind w:hanging="0" w:left="0"/>
        <w:rPr>
          <w:i w:val="false"/>
          <w:color w:val="auto"/>
          <w:sz w:val="18"/>
          <w:szCs w:val="18"/>
          <w:highlight w:val="white"/>
        </w:rPr>
      </w:pPr>
      <w:r>
        <w:rPr>
          <w:rFonts w:eastAsia="Calibri"/>
          <w:i w:val="false"/>
          <w:color w:val="auto"/>
          <w:sz w:val="18"/>
          <w:szCs w:val="18"/>
        </w:rPr>
        <w:t>.</w:t>
      </w:r>
    </w:p>
    <w:p>
      <w:pPr>
        <w:pStyle w:val="Normal"/>
        <w:widowControl w:val="false"/>
        <w:tabs>
          <w:tab w:val="clear" w:pos="708"/>
          <w:tab w:val="left" w:pos="426" w:leader="none"/>
          <w:tab w:val="left" w:pos="851" w:leader="none"/>
        </w:tabs>
        <w:spacing w:lineRule="auto" w:line="312"/>
        <w:jc w:val="both"/>
        <w:rPr>
          <w:rFonts w:ascii="Arial" w:hAnsi="Arial" w:cs="Arial"/>
          <w:sz w:val="18"/>
          <w:szCs w:val="18"/>
        </w:rPr>
      </w:pPr>
      <w:r>
        <w:rPr>
          <w:rFonts w:eastAsia="Calibri" w:cs="Arial" w:ascii="Arial" w:hAnsi="Arial"/>
          <w:sz w:val="18"/>
          <w:szCs w:val="18"/>
        </w:rPr>
        <w:t>6.3 – DO RECEBIMENTO</w:t>
      </w:r>
    </w:p>
    <w:p>
      <w:pPr>
        <w:pStyle w:val="Nivel01"/>
        <w:numPr>
          <w:ilvl w:val="0"/>
          <w:numId w:val="0"/>
        </w:numPr>
        <w:spacing w:before="0" w:after="60"/>
        <w:ind w:hanging="0" w:left="360"/>
        <w:rPr>
          <w:b w:val="false"/>
          <w:bCs w:val="false"/>
          <w:color w:val="auto"/>
          <w:sz w:val="18"/>
          <w:szCs w:val="18"/>
        </w:rPr>
      </w:pPr>
      <w:r>
        <w:rPr>
          <w:b w:val="false"/>
          <w:bCs w:val="false"/>
          <w:color w:val="auto"/>
          <w:sz w:val="18"/>
          <w:szCs w:val="18"/>
        </w:rPr>
        <w:t>6.3.1. O acompanhamento e a fiscalização da execução contratual serão realizados por servidor(es) designado(s) pela Administração, que verificarão diariamente a regularidade da prestação dos serviços.</w:t>
      </w:r>
    </w:p>
    <w:p>
      <w:pPr>
        <w:pStyle w:val="Nivel01"/>
        <w:numPr>
          <w:ilvl w:val="0"/>
          <w:numId w:val="0"/>
        </w:numPr>
        <w:spacing w:before="0" w:after="60"/>
        <w:ind w:hanging="0" w:left="360"/>
        <w:rPr>
          <w:b w:val="false"/>
          <w:bCs w:val="false"/>
          <w:color w:val="auto"/>
          <w:sz w:val="18"/>
          <w:szCs w:val="18"/>
        </w:rPr>
      </w:pPr>
      <w:r>
        <w:rPr>
          <w:b w:val="false"/>
          <w:bCs w:val="false"/>
          <w:color w:val="auto"/>
          <w:sz w:val="18"/>
          <w:szCs w:val="18"/>
        </w:rPr>
        <w:t>6.3.2. O recebimento provisório ocorrerá mensalmente, mediante conferência da efetiva execução dos serviços, das linhas atendidas, da quilometragem realizada, da regularidade da documentação exigida e do cumprimento das obrigações contratuais.</w:t>
      </w:r>
    </w:p>
    <w:p>
      <w:pPr>
        <w:pStyle w:val="Nivel01"/>
        <w:numPr>
          <w:ilvl w:val="0"/>
          <w:numId w:val="0"/>
        </w:numPr>
        <w:spacing w:before="0" w:after="60"/>
        <w:ind w:hanging="0" w:left="360"/>
        <w:rPr>
          <w:b w:val="false"/>
          <w:bCs w:val="false"/>
          <w:color w:val="auto"/>
          <w:sz w:val="18"/>
          <w:szCs w:val="18"/>
        </w:rPr>
      </w:pPr>
      <w:r>
        <w:rPr>
          <w:b w:val="false"/>
          <w:bCs w:val="false"/>
          <w:color w:val="auto"/>
          <w:sz w:val="18"/>
          <w:szCs w:val="18"/>
        </w:rPr>
        <w:t>6.3.3. O recebimento definitivo ocorrerá após a verificação do cumprimento integral das obrigações referentes ao período de medição, mediante emissão de termo de recebimento definitivo pelo Fiscal do Contrato.</w:t>
      </w:r>
    </w:p>
    <w:p>
      <w:pPr>
        <w:pStyle w:val="Nivel01"/>
        <w:numPr>
          <w:ilvl w:val="0"/>
          <w:numId w:val="0"/>
        </w:numPr>
        <w:spacing w:before="0" w:after="60"/>
        <w:ind w:hanging="0" w:left="360"/>
        <w:rPr>
          <w:b w:val="false"/>
          <w:bCs w:val="false"/>
          <w:color w:val="auto"/>
          <w:sz w:val="18"/>
          <w:szCs w:val="18"/>
        </w:rPr>
      </w:pPr>
      <w:r>
        <w:rPr>
          <w:b w:val="false"/>
          <w:bCs w:val="false"/>
          <w:color w:val="auto"/>
          <w:sz w:val="18"/>
          <w:szCs w:val="18"/>
        </w:rPr>
        <w:t>6.3.4. Verificada qualquer irregularidade na execução dos serviços, a contratada será formalmente notificada para promover sua imediata regularização, sem prejuízo da aplicação das penalidades cabíveis.</w:t>
      </w:r>
    </w:p>
    <w:p>
      <w:pPr>
        <w:pStyle w:val="Nivel01"/>
        <w:numPr>
          <w:ilvl w:val="0"/>
          <w:numId w:val="0"/>
        </w:numPr>
        <w:spacing w:before="0" w:after="60"/>
        <w:ind w:hanging="0" w:left="360"/>
        <w:rPr>
          <w:b w:val="false"/>
          <w:bCs w:val="false"/>
          <w:color w:val="auto"/>
          <w:sz w:val="18"/>
          <w:szCs w:val="18"/>
        </w:rPr>
      </w:pPr>
      <w:r>
        <w:rPr>
          <w:b w:val="false"/>
          <w:bCs w:val="false"/>
          <w:color w:val="auto"/>
          <w:sz w:val="18"/>
          <w:szCs w:val="18"/>
        </w:rPr>
        <w:t>6.3.5. O recebimento provisório ou definitivo não exclui a responsabilidade civil, administrativa, contratual ou técnica da contratada pela perfeita execução dos serviços, nem pela segurança dos estudantes transportados.</w:t>
      </w:r>
    </w:p>
    <w:p>
      <w:pPr>
        <w:pStyle w:val="Nivel01"/>
        <w:numPr>
          <w:ilvl w:val="0"/>
          <w:numId w:val="0"/>
        </w:numPr>
        <w:spacing w:lineRule="auto" w:line="240" w:before="0" w:after="60"/>
        <w:ind w:hanging="0" w:left="0"/>
        <w:rPr>
          <w:color w:val="000000"/>
          <w:sz w:val="18"/>
          <w:szCs w:val="18"/>
        </w:rPr>
      </w:pPr>
      <w:r>
        <w:rPr>
          <w:color w:val="000000"/>
          <w:sz w:val="18"/>
          <w:szCs w:val="18"/>
        </w:rPr>
        <w:t>7 - OBRIGAÇÕES DO CONTRATANTE (art. 92, incisos X, XI e XIV, da Lei nº 14.133/2021)</w:t>
      </w:r>
    </w:p>
    <w:p>
      <w:pPr>
        <w:pStyle w:val="Nivel01"/>
        <w:numPr>
          <w:ilvl w:val="0"/>
          <w:numId w:val="0"/>
        </w:numPr>
        <w:spacing w:lineRule="auto" w:line="240" w:before="0" w:after="117"/>
        <w:ind w:hanging="0" w:left="0"/>
        <w:rPr>
          <w:b w:val="false"/>
          <w:bCs w:val="false"/>
          <w:color w:val="auto"/>
          <w:sz w:val="18"/>
          <w:szCs w:val="18"/>
        </w:rPr>
      </w:pPr>
      <w:r>
        <w:rPr>
          <w:b w:val="false"/>
          <w:bCs w:val="false"/>
          <w:color w:val="auto"/>
          <w:sz w:val="18"/>
          <w:szCs w:val="18"/>
        </w:rPr>
        <w:t>7.1 São obrigações do Contratante:</w:t>
      </w:r>
    </w:p>
    <w:p>
      <w:pPr>
        <w:pStyle w:val="Nivel2"/>
        <w:numPr>
          <w:ilvl w:val="0"/>
          <w:numId w:val="0"/>
        </w:numPr>
        <w:spacing w:lineRule="auto" w:line="240" w:before="0" w:after="0"/>
        <w:ind w:hanging="0" w:left="708"/>
        <w:rPr>
          <w:sz w:val="18"/>
          <w:szCs w:val="18"/>
        </w:rPr>
      </w:pPr>
      <w:r>
        <w:rPr>
          <w:color w:val="auto"/>
          <w:sz w:val="18"/>
          <w:szCs w:val="18"/>
        </w:rPr>
        <w:t>7.1.1 - Exigir o cumprimento de todas as obrigações assumidas pelo Contratado, de acordo com o contrato e seus anexos;</w:t>
      </w:r>
    </w:p>
    <w:p>
      <w:pPr>
        <w:pStyle w:val="Nivel2"/>
        <w:numPr>
          <w:ilvl w:val="0"/>
          <w:numId w:val="0"/>
        </w:numPr>
        <w:spacing w:lineRule="auto" w:line="312" w:before="0" w:after="0"/>
        <w:ind w:hanging="0" w:left="708"/>
        <w:rPr>
          <w:color w:val="auto"/>
          <w:sz w:val="18"/>
          <w:szCs w:val="18"/>
        </w:rPr>
      </w:pPr>
      <w:r>
        <w:rPr>
          <w:color w:val="auto"/>
          <w:sz w:val="18"/>
          <w:szCs w:val="18"/>
        </w:rPr>
        <w:t>7.1.2 - Acompanhar, fiscalizar e atestar a efetiva prestação dos serviços, observando as condições estabelecidas neste Termo de Referência e no Contrato;</w:t>
      </w:r>
    </w:p>
    <w:p>
      <w:pPr>
        <w:pStyle w:val="Nivel2"/>
        <w:numPr>
          <w:ilvl w:val="0"/>
          <w:numId w:val="0"/>
        </w:numPr>
        <w:spacing w:lineRule="auto" w:line="312" w:before="0" w:after="0"/>
        <w:ind w:hanging="0" w:left="708"/>
        <w:rPr>
          <w:color w:val="auto"/>
          <w:sz w:val="18"/>
          <w:szCs w:val="18"/>
        </w:rPr>
      </w:pPr>
      <w:r>
        <w:rPr>
          <w:color w:val="auto"/>
          <w:sz w:val="18"/>
          <w:szCs w:val="18"/>
        </w:rPr>
        <w:t>7.1.3 - Notificar o Contratado, por escrito, acerca de irregularidades verificadas na execução dos serviços, determinando a imediata regularização, substituição de veículo, motorista ou correção das falhas constatadas, quando cabível;</w:t>
      </w:r>
    </w:p>
    <w:p>
      <w:pPr>
        <w:pStyle w:val="Nivel2"/>
        <w:numPr>
          <w:ilvl w:val="0"/>
          <w:numId w:val="0"/>
        </w:numPr>
        <w:spacing w:lineRule="auto" w:line="312" w:before="0" w:after="0"/>
        <w:ind w:hanging="0" w:left="708"/>
        <w:rPr>
          <w:color w:val="auto"/>
          <w:sz w:val="18"/>
          <w:szCs w:val="18"/>
        </w:rPr>
      </w:pPr>
      <w:r>
        <w:rPr>
          <w:color w:val="auto"/>
          <w:sz w:val="18"/>
          <w:szCs w:val="18"/>
        </w:rPr>
        <w:t>7.1.4 - Acompanhar e fiscalizar a execução do contrato e o cumprimento das obrigações pelo Contratado;</w:t>
      </w:r>
    </w:p>
    <w:p>
      <w:pPr>
        <w:pStyle w:val="Nivel2"/>
        <w:numPr>
          <w:ilvl w:val="0"/>
          <w:numId w:val="0"/>
        </w:numPr>
        <w:spacing w:lineRule="auto" w:line="312" w:before="0" w:after="0"/>
        <w:ind w:hanging="0" w:left="708"/>
        <w:rPr>
          <w:bCs/>
          <w:color w:val="auto"/>
          <w:sz w:val="18"/>
          <w:szCs w:val="18"/>
        </w:rPr>
      </w:pPr>
      <w:r>
        <w:rPr>
          <w:color w:val="auto"/>
          <w:sz w:val="18"/>
          <w:szCs w:val="18"/>
        </w:rPr>
        <w:t>7.1.5 Atestar a execução mensal dos serviços, autorizando a emissão da Nota Fiscal/Fatura após a conferência da medição realizada pelo Fiscal do Contrato</w:t>
      </w:r>
      <w:r>
        <w:rPr>
          <w:bCs/>
          <w:color w:val="auto"/>
          <w:sz w:val="18"/>
          <w:szCs w:val="18"/>
        </w:rPr>
        <w:t>, conforme o art. 143 da Lei nº 14.133, de 2021;</w:t>
      </w:r>
    </w:p>
    <w:p>
      <w:pPr>
        <w:pStyle w:val="Nivel2"/>
        <w:numPr>
          <w:ilvl w:val="0"/>
          <w:numId w:val="0"/>
        </w:numPr>
        <w:spacing w:lineRule="auto" w:line="312" w:before="0" w:after="0"/>
        <w:ind w:hanging="0" w:left="708"/>
        <w:rPr>
          <w:color w:val="auto"/>
          <w:sz w:val="18"/>
          <w:szCs w:val="18"/>
        </w:rPr>
      </w:pPr>
      <w:r>
        <w:rPr>
          <w:color w:val="auto"/>
          <w:sz w:val="18"/>
          <w:szCs w:val="18"/>
        </w:rPr>
        <w:t>7.1.6 - Efetuar o pagamento ao Contratado do valor correspondente ao fornecimento do objeto, no prazo, forma e condições estabelecidos no Contrato;</w:t>
      </w:r>
    </w:p>
    <w:p>
      <w:pPr>
        <w:pStyle w:val="Nivel2"/>
        <w:numPr>
          <w:ilvl w:val="0"/>
          <w:numId w:val="0"/>
        </w:numPr>
        <w:spacing w:lineRule="auto" w:line="312" w:before="0" w:after="0"/>
        <w:ind w:hanging="0" w:left="708"/>
        <w:rPr>
          <w:color w:val="auto"/>
          <w:sz w:val="18"/>
          <w:szCs w:val="18"/>
        </w:rPr>
      </w:pPr>
      <w:r>
        <w:rPr>
          <w:color w:val="auto"/>
          <w:sz w:val="18"/>
          <w:szCs w:val="18"/>
        </w:rPr>
        <w:t xml:space="preserve">7.1.7 - Aplicar ao Contratado as sanções previstas na lei e no Contrato; </w:t>
      </w:r>
    </w:p>
    <w:p>
      <w:pPr>
        <w:pStyle w:val="Nivel2"/>
        <w:numPr>
          <w:ilvl w:val="0"/>
          <w:numId w:val="0"/>
        </w:numPr>
        <w:spacing w:lineRule="auto" w:line="312" w:before="0" w:after="0"/>
        <w:ind w:hanging="0" w:left="708"/>
        <w:rPr>
          <w:color w:val="auto"/>
          <w:sz w:val="18"/>
          <w:szCs w:val="18"/>
        </w:rPr>
      </w:pPr>
      <w:r>
        <w:rPr>
          <w:color w:val="auto"/>
          <w:sz w:val="18"/>
          <w:szCs w:val="18"/>
        </w:rPr>
        <w:t>7.1.8 - Cientificar o órgão de representação judicial da Prefeitura Municipal de Santa Bárbara do Sul/RS, para adoção das medidas cabíveis quando do descumprimento de obrigações pelo Contratado, quando esgotadas as vias administrativas.</w:t>
      </w:r>
    </w:p>
    <w:p>
      <w:pPr>
        <w:pStyle w:val="Nivel2"/>
        <w:numPr>
          <w:ilvl w:val="0"/>
          <w:numId w:val="0"/>
        </w:numPr>
        <w:spacing w:lineRule="auto" w:line="312" w:before="0" w:after="0"/>
        <w:ind w:hanging="0" w:left="708"/>
        <w:rPr>
          <w:color w:val="auto"/>
          <w:sz w:val="18"/>
          <w:szCs w:val="18"/>
        </w:rPr>
      </w:pPr>
      <w:r>
        <w:rPr>
          <w:color w:val="auto"/>
          <w:sz w:val="18"/>
          <w:szCs w:val="18"/>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ivel2"/>
        <w:numPr>
          <w:ilvl w:val="0"/>
          <w:numId w:val="0"/>
        </w:numPr>
        <w:spacing w:lineRule="auto" w:line="312" w:before="0" w:after="0"/>
        <w:ind w:hanging="0" w:left="708"/>
        <w:rPr>
          <w:color w:val="auto"/>
          <w:sz w:val="18"/>
          <w:szCs w:val="18"/>
        </w:rPr>
      </w:pPr>
      <w:r>
        <w:rPr>
          <w:color w:val="auto"/>
          <w:sz w:val="18"/>
          <w:szCs w:val="18"/>
        </w:rPr>
        <w:t>7.1.10 - Responder eventuais pedidos de restabelecimento do equilíbrio econômico-financeiro feitos pelo contratado.</w:t>
      </w:r>
    </w:p>
    <w:p>
      <w:pPr>
        <w:pStyle w:val="Nivel2"/>
        <w:numPr>
          <w:ilvl w:val="0"/>
          <w:numId w:val="0"/>
        </w:numPr>
        <w:spacing w:lineRule="auto" w:line="312" w:before="0" w:after="0"/>
        <w:ind w:hanging="0" w:left="708"/>
        <w:rPr>
          <w:color w:val="auto"/>
          <w:sz w:val="18"/>
          <w:szCs w:val="18"/>
        </w:rPr>
      </w:pPr>
      <w:r>
        <w:rPr>
          <w:color w:val="auto"/>
          <w:sz w:val="18"/>
          <w:szCs w:val="18"/>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ivel2"/>
        <w:numPr>
          <w:ilvl w:val="2"/>
          <w:numId w:val="19"/>
        </w:numPr>
        <w:spacing w:lineRule="auto" w:line="312" w:before="0" w:after="0"/>
        <w:rPr>
          <w:sz w:val="18"/>
          <w:szCs w:val="18"/>
        </w:rPr>
      </w:pPr>
      <w:r>
        <w:rPr>
          <w:sz w:val="18"/>
          <w:szCs w:val="18"/>
        </w:rPr>
        <w:t>Designar formalmente Fiscal e Gestor do Contrato, responsáveis pelo acompanhamento, fiscalização e gestão da execução contratual, na forma da Lei Federal nº 14.133/2021 e da regulamentação municipal.</w:t>
      </w:r>
    </w:p>
    <w:p>
      <w:pPr>
        <w:pStyle w:val="Nivel2"/>
        <w:numPr>
          <w:ilvl w:val="2"/>
          <w:numId w:val="19"/>
        </w:numPr>
        <w:spacing w:lineRule="auto" w:line="312" w:before="0" w:after="0"/>
        <w:rPr>
          <w:sz w:val="18"/>
          <w:szCs w:val="18"/>
        </w:rPr>
      </w:pPr>
      <w:r>
        <w:rPr>
          <w:sz w:val="18"/>
          <w:szCs w:val="18"/>
        </w:rPr>
        <w:t>Disponibilizar à contratada, antes do início da execução dos serviços, os itinerários, horários, pontos de embarque e desembarque, calendário escolar e demais informações indispensáveis à execução contratual.</w:t>
      </w:r>
    </w:p>
    <w:p>
      <w:pPr>
        <w:pStyle w:val="Nivel2"/>
        <w:numPr>
          <w:ilvl w:val="2"/>
          <w:numId w:val="19"/>
        </w:numPr>
        <w:spacing w:lineRule="auto" w:line="312" w:before="0" w:after="0"/>
        <w:rPr>
          <w:sz w:val="18"/>
          <w:szCs w:val="18"/>
        </w:rPr>
      </w:pPr>
      <w:r>
        <w:rPr>
          <w:sz w:val="18"/>
          <w:szCs w:val="18"/>
        </w:rPr>
        <w:t>Comunicar formalmente à contratada qualquer alteração de itinerário, horário, calendário escolar ou demais condições de execução dos serviços com antecedência razoável, ressalvadas situações emergenciais.</w:t>
      </w:r>
    </w:p>
    <w:p>
      <w:pPr>
        <w:pStyle w:val="Nivel2"/>
        <w:numPr>
          <w:ilvl w:val="2"/>
          <w:numId w:val="19"/>
        </w:numPr>
        <w:spacing w:lineRule="auto" w:line="312" w:before="0" w:after="0"/>
        <w:rPr>
          <w:sz w:val="18"/>
          <w:szCs w:val="18"/>
        </w:rPr>
      </w:pPr>
      <w:r>
        <w:rPr>
          <w:sz w:val="18"/>
          <w:szCs w:val="18"/>
        </w:rPr>
        <w:t>Realizar a medição mensal dos serviços efetivamente executados para fins de liquidação da despesa e pagamento.</w:t>
      </w:r>
    </w:p>
    <w:p>
      <w:pPr>
        <w:pStyle w:val="Nivel2"/>
        <w:numPr>
          <w:ilvl w:val="2"/>
          <w:numId w:val="19"/>
        </w:numPr>
        <w:spacing w:lineRule="auto" w:line="312" w:before="0" w:after="0"/>
        <w:rPr>
          <w:sz w:val="18"/>
          <w:szCs w:val="18"/>
        </w:rPr>
      </w:pPr>
      <w:r>
        <w:rPr>
          <w:sz w:val="18"/>
          <w:szCs w:val="18"/>
        </w:rPr>
        <w:t>Solicitar, sempre que necessário, a substituição de veículos ou motoristas que não atendam às exigências legais, contratuais ou de segurança, sem qualquer ônus adicional para a Administração.</w:t>
      </w:r>
    </w:p>
    <w:p>
      <w:pPr>
        <w:pStyle w:val="Nivel2"/>
        <w:numPr>
          <w:ilvl w:val="2"/>
          <w:numId w:val="19"/>
        </w:numPr>
        <w:spacing w:lineRule="auto" w:line="312" w:before="0" w:after="0"/>
        <w:rPr>
          <w:sz w:val="18"/>
          <w:szCs w:val="18"/>
        </w:rPr>
      </w:pPr>
      <w:r>
        <w:rPr>
          <w:sz w:val="18"/>
          <w:szCs w:val="18"/>
        </w:rPr>
        <w:t>Fiscalizar permanentemente o cumprimento das normas de segurança aplicáveis ao transporte escolar, podendo realizar inspeções, vistorias e diligências sempre que entender necessário.</w:t>
      </w:r>
    </w:p>
    <w:p>
      <w:pPr>
        <w:pStyle w:val="Nivel2"/>
        <w:numPr>
          <w:ilvl w:val="0"/>
          <w:numId w:val="0"/>
        </w:numPr>
        <w:spacing w:lineRule="auto" w:line="312" w:before="0" w:after="0"/>
        <w:ind w:hanging="0" w:left="708"/>
        <w:rPr>
          <w:color w:val="auto"/>
          <w:sz w:val="18"/>
          <w:szCs w:val="18"/>
        </w:rPr>
      </w:pPr>
      <w:r>
        <w:rPr>
          <w:color w:val="auto"/>
          <w:sz w:val="18"/>
          <w:szCs w:val="18"/>
        </w:rPr>
      </w:r>
    </w:p>
    <w:p>
      <w:pPr>
        <w:pStyle w:val="Nivel01"/>
        <w:numPr>
          <w:ilvl w:val="0"/>
          <w:numId w:val="0"/>
        </w:numPr>
        <w:spacing w:before="0" w:after="0"/>
        <w:ind w:hanging="0" w:left="0"/>
        <w:rPr>
          <w:color w:val="000000"/>
          <w:sz w:val="18"/>
          <w:szCs w:val="18"/>
        </w:rPr>
      </w:pPr>
      <w:r>
        <w:rPr>
          <w:color w:val="000000"/>
          <w:sz w:val="18"/>
          <w:szCs w:val="18"/>
        </w:rPr>
        <w:t>8 - OBRIGAÇÕES DO CONTRATADO (art. 92, incisos XIV, XVI e XVII, da Lei nº 14.133/2021).</w:t>
      </w:r>
    </w:p>
    <w:p>
      <w:pPr>
        <w:pStyle w:val="Nivel2"/>
        <w:numPr>
          <w:ilvl w:val="0"/>
          <w:numId w:val="0"/>
        </w:numPr>
        <w:spacing w:lineRule="auto" w:line="312" w:before="0" w:after="0"/>
        <w:ind w:hanging="0" w:left="0"/>
        <w:rPr>
          <w:color w:val="auto"/>
          <w:sz w:val="18"/>
          <w:szCs w:val="18"/>
        </w:rPr>
      </w:pPr>
      <w:r>
        <w:rPr>
          <w:color w:val="auto"/>
          <w:sz w:val="18"/>
          <w:szCs w:val="18"/>
        </w:rPr>
        <w:t>8.1 - O Contratado deve cumprir todas as obrigações constantes do Contrato e em seus anexos, assumindo como exclusivamente seus os riscos e as despesas decorrentes da boa e perfeita execução do objeto, observando, ainda, as obrigações a seguir dispostas:</w:t>
      </w:r>
    </w:p>
    <w:p>
      <w:pPr>
        <w:pStyle w:val="Nivel2"/>
        <w:numPr>
          <w:ilvl w:val="0"/>
          <w:numId w:val="0"/>
        </w:numPr>
        <w:spacing w:lineRule="auto" w:line="312" w:before="0" w:after="0"/>
        <w:ind w:hanging="0" w:left="708"/>
        <w:rPr>
          <w:color w:val="auto"/>
          <w:sz w:val="18"/>
          <w:szCs w:val="18"/>
        </w:rPr>
      </w:pPr>
      <w:r>
        <w:rPr>
          <w:color w:val="auto"/>
          <w:sz w:val="18"/>
          <w:szCs w:val="18"/>
        </w:rPr>
        <w:t>8.1.1 - Responsabilizar-se integralmente pela perfeita execução dos serviços, pela segurança dos estudantes transportados e pelos danos causados à Administração, aos usuários ou a terceiros, decorrentes de dolo ou culpa na execução contratual, sem prejuízo das demais responsabilidades previstas na legislação aplicável;</w:t>
      </w:r>
    </w:p>
    <w:p>
      <w:pPr>
        <w:pStyle w:val="Nivel2"/>
        <w:numPr>
          <w:ilvl w:val="0"/>
          <w:numId w:val="0"/>
        </w:numPr>
        <w:spacing w:lineRule="auto" w:line="312" w:before="0" w:after="0"/>
        <w:ind w:hanging="0" w:left="708"/>
        <w:rPr>
          <w:color w:val="auto"/>
          <w:sz w:val="18"/>
          <w:szCs w:val="18"/>
        </w:rPr>
      </w:pPr>
      <w:r>
        <w:rPr>
          <w:color w:val="auto"/>
          <w:sz w:val="18"/>
          <w:szCs w:val="18"/>
        </w:rPr>
        <w:t>8.1.2 - Comunicar imediatamente ao Fiscal do Contrato qualquer fato que possa impedir, atrasar ou comprometer a execução dos serviços, apresentando as justificativas e adotando todas as medidas necessárias para minimizar os prejuízos à Administração e aos usuários;</w:t>
      </w:r>
    </w:p>
    <w:p>
      <w:pPr>
        <w:pStyle w:val="Nivel2"/>
        <w:numPr>
          <w:ilvl w:val="0"/>
          <w:numId w:val="0"/>
        </w:numPr>
        <w:spacing w:lineRule="auto" w:line="312" w:before="0" w:after="0"/>
        <w:ind w:hanging="0" w:left="708"/>
        <w:rPr>
          <w:color w:val="auto"/>
          <w:sz w:val="18"/>
          <w:szCs w:val="18"/>
        </w:rPr>
      </w:pPr>
      <w:r>
        <w:rPr>
          <w:color w:val="auto"/>
          <w:sz w:val="18"/>
          <w:szCs w:val="18"/>
        </w:rPr>
        <w:t>8.1.3 - Atender às determinações regulares emitidas pelo fiscal ou gestor do contrato ou autoridade superior (art. 137, II, da Lei n.º 14.133, de 2021) e prestar todo esclarecimento ou informação por eles solicitados;</w:t>
      </w:r>
    </w:p>
    <w:p>
      <w:pPr>
        <w:pStyle w:val="Nivel2"/>
        <w:numPr>
          <w:ilvl w:val="0"/>
          <w:numId w:val="0"/>
        </w:numPr>
        <w:spacing w:lineRule="auto" w:line="312" w:before="0" w:after="0"/>
        <w:ind w:hanging="0" w:left="708"/>
        <w:rPr>
          <w:color w:val="auto"/>
          <w:sz w:val="18"/>
          <w:szCs w:val="18"/>
        </w:rPr>
      </w:pPr>
      <w:r>
        <w:rPr>
          <w:color w:val="auto"/>
          <w:sz w:val="18"/>
          <w:szCs w:val="18"/>
        </w:rPr>
        <w:t>8.1.4 - substituição imediata do veículo ou motorista que, por qualquer motivo, deixe de atender às exigências legais, contratuais ou de segurança, sempre que determinado pela Administração;</w:t>
      </w:r>
    </w:p>
    <w:p>
      <w:pPr>
        <w:pStyle w:val="Nivel2"/>
        <w:numPr>
          <w:ilvl w:val="0"/>
          <w:numId w:val="0"/>
        </w:numPr>
        <w:spacing w:lineRule="auto" w:line="312" w:before="0" w:after="0"/>
        <w:ind w:hanging="0" w:left="708"/>
        <w:rPr>
          <w:color w:val="auto"/>
          <w:sz w:val="18"/>
          <w:szCs w:val="18"/>
        </w:rPr>
      </w:pPr>
      <w:r>
        <w:rPr>
          <w:color w:val="auto"/>
          <w:sz w:val="18"/>
          <w:szCs w:val="18"/>
        </w:rPr>
        <w:t>8.1.5 - Disponibilizar veículos, motoristas, equipamentos obrigatórios e demais recursos necessários à perfeita execução contratual, observando rigorosamente as exigências deste Termo de Referência, do Código de Trânsito Brasileiro, das Resoluções do CONTRAN, das normas do DETRAN/RS e demais legislações aplicáveis ao transporte escolar;</w:t>
      </w:r>
    </w:p>
    <w:p>
      <w:pPr>
        <w:pStyle w:val="Nivel2"/>
        <w:numPr>
          <w:ilvl w:val="0"/>
          <w:numId w:val="0"/>
        </w:numPr>
        <w:spacing w:lineRule="auto" w:line="312" w:before="0" w:after="0"/>
        <w:ind w:hanging="0" w:left="708"/>
        <w:rPr>
          <w:color w:val="auto"/>
          <w:sz w:val="18"/>
          <w:szCs w:val="18"/>
        </w:rPr>
      </w:pPr>
      <w:r>
        <w:rPr>
          <w:color w:val="auto"/>
          <w:sz w:val="18"/>
          <w:szCs w:val="18"/>
        </w:rPr>
        <w:t xml:space="preserve">8.1.6 - O contratado deverá entregar ao setor responsável pela fiscalização do contrato, junto com a NF - Nota Fiscal para fins de pagamento, os seguintes documentos: </w:t>
      </w:r>
    </w:p>
    <w:p>
      <w:pPr>
        <w:pStyle w:val="Nivel2"/>
        <w:numPr>
          <w:ilvl w:val="1"/>
          <w:numId w:val="4"/>
        </w:numPr>
        <w:spacing w:lineRule="auto" w:line="312" w:before="0" w:after="0"/>
        <w:rPr>
          <w:color w:val="auto"/>
          <w:sz w:val="18"/>
          <w:szCs w:val="18"/>
        </w:rPr>
      </w:pPr>
      <w:r>
        <w:rPr>
          <w:color w:val="auto"/>
          <w:sz w:val="18"/>
          <w:szCs w:val="18"/>
        </w:rPr>
        <w:t xml:space="preserve">Prova de regularidade relativa à Seguridade Social; </w:t>
      </w:r>
    </w:p>
    <w:p>
      <w:pPr>
        <w:pStyle w:val="Nivel2"/>
        <w:numPr>
          <w:ilvl w:val="1"/>
          <w:numId w:val="4"/>
        </w:numPr>
        <w:spacing w:lineRule="auto" w:line="312" w:before="0" w:after="0"/>
        <w:rPr>
          <w:color w:val="auto"/>
          <w:sz w:val="18"/>
          <w:szCs w:val="18"/>
        </w:rPr>
      </w:pPr>
      <w:r>
        <w:rPr>
          <w:color w:val="auto"/>
          <w:sz w:val="18"/>
          <w:szCs w:val="18"/>
        </w:rPr>
        <w:t xml:space="preserve">Certidão conjunta relativa aos tributos federais e à Dívida Ativa da União; </w:t>
      </w:r>
    </w:p>
    <w:p>
      <w:pPr>
        <w:pStyle w:val="Nivel2"/>
        <w:numPr>
          <w:ilvl w:val="1"/>
          <w:numId w:val="4"/>
        </w:numPr>
        <w:spacing w:lineRule="auto" w:line="312" w:before="0" w:after="0"/>
        <w:rPr>
          <w:color w:val="auto"/>
          <w:sz w:val="18"/>
          <w:szCs w:val="18"/>
        </w:rPr>
      </w:pPr>
      <w:r>
        <w:rPr>
          <w:color w:val="auto"/>
          <w:sz w:val="18"/>
          <w:szCs w:val="18"/>
        </w:rPr>
        <w:t xml:space="preserve">Certidões que comprovem a regularidade perante a Fazenda Estadual ou Distrital do domicílio ou sede do contratado; </w:t>
      </w:r>
    </w:p>
    <w:p>
      <w:pPr>
        <w:pStyle w:val="Nivel2"/>
        <w:numPr>
          <w:ilvl w:val="1"/>
          <w:numId w:val="4"/>
        </w:numPr>
        <w:spacing w:lineRule="auto" w:line="312" w:before="0" w:after="0"/>
        <w:rPr>
          <w:color w:val="auto"/>
          <w:sz w:val="18"/>
          <w:szCs w:val="18"/>
        </w:rPr>
      </w:pPr>
      <w:r>
        <w:rPr>
          <w:color w:val="auto"/>
          <w:sz w:val="18"/>
          <w:szCs w:val="18"/>
        </w:rPr>
        <w:t xml:space="preserve">Certidão de Regularidade do FGTS – CRF; </w:t>
      </w:r>
    </w:p>
    <w:p>
      <w:pPr>
        <w:pStyle w:val="Nivel2"/>
        <w:numPr>
          <w:ilvl w:val="1"/>
          <w:numId w:val="4"/>
        </w:numPr>
        <w:spacing w:lineRule="auto" w:line="312" w:before="0" w:after="0"/>
        <w:rPr>
          <w:color w:val="auto"/>
          <w:sz w:val="18"/>
          <w:szCs w:val="18"/>
        </w:rPr>
      </w:pPr>
      <w:r>
        <w:rPr>
          <w:color w:val="auto"/>
          <w:sz w:val="18"/>
          <w:szCs w:val="18"/>
        </w:rPr>
        <w:t xml:space="preserve">Certidão Negativa de Débitos Trabalhistas – CNDT; </w:t>
      </w:r>
    </w:p>
    <w:p>
      <w:pPr>
        <w:pStyle w:val="Nivel2"/>
        <w:numPr>
          <w:ilvl w:val="1"/>
          <w:numId w:val="4"/>
        </w:numPr>
        <w:spacing w:lineRule="auto" w:line="312" w:before="0" w:after="0"/>
        <w:rPr>
          <w:color w:val="auto"/>
          <w:sz w:val="18"/>
          <w:szCs w:val="18"/>
        </w:rPr>
      </w:pPr>
      <w:r>
        <w:rPr>
          <w:color w:val="auto"/>
          <w:sz w:val="18"/>
          <w:szCs w:val="18"/>
        </w:rPr>
        <w:t>Certidão Negativa de Débitos Municipais;</w:t>
      </w:r>
    </w:p>
    <w:p>
      <w:pPr>
        <w:pStyle w:val="Nivel2"/>
        <w:numPr>
          <w:ilvl w:val="1"/>
          <w:numId w:val="4"/>
        </w:numPr>
        <w:spacing w:lineRule="auto" w:line="312" w:before="0" w:after="0"/>
        <w:rPr>
          <w:color w:val="auto"/>
          <w:sz w:val="18"/>
          <w:szCs w:val="18"/>
        </w:rPr>
      </w:pPr>
      <w:r>
        <w:rPr>
          <w:color w:val="auto"/>
          <w:sz w:val="18"/>
          <w:szCs w:val="18"/>
        </w:rPr>
        <w:t>E quando solicitado Relatório da execução das linhas.</w:t>
      </w:r>
    </w:p>
    <w:p>
      <w:pPr>
        <w:pStyle w:val="Nivel2"/>
        <w:numPr>
          <w:ilvl w:val="0"/>
          <w:numId w:val="0"/>
        </w:numPr>
        <w:spacing w:lineRule="auto" w:line="312" w:before="0" w:after="0"/>
        <w:ind w:hanging="0" w:left="708"/>
        <w:rPr>
          <w:color w:val="auto"/>
          <w:sz w:val="18"/>
          <w:szCs w:val="18"/>
        </w:rPr>
      </w:pPr>
      <w:r>
        <w:rPr>
          <w:color w:val="auto"/>
          <w:sz w:val="18"/>
          <w:szCs w:val="18"/>
        </w:rPr>
        <w:t>8.1.7 -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Nivel2"/>
        <w:numPr>
          <w:ilvl w:val="0"/>
          <w:numId w:val="0"/>
        </w:numPr>
        <w:spacing w:lineRule="auto" w:line="312" w:before="0" w:after="0"/>
        <w:ind w:hanging="0" w:left="708"/>
        <w:rPr>
          <w:color w:val="auto"/>
          <w:sz w:val="18"/>
          <w:szCs w:val="18"/>
        </w:rPr>
      </w:pPr>
      <w:r>
        <w:rPr>
          <w:color w:val="auto"/>
          <w:sz w:val="18"/>
          <w:szCs w:val="18"/>
        </w:rPr>
        <w:t>8.1.8 - Comunicar ao Fiscal do contrato, no prazo de 24 (vinte e quatro) horas, qualquer ocorrência anormal ou acidente que se verifique no local da execução do objeto contratual.</w:t>
      </w:r>
    </w:p>
    <w:p>
      <w:pPr>
        <w:pStyle w:val="Nivel2"/>
        <w:numPr>
          <w:ilvl w:val="0"/>
          <w:numId w:val="0"/>
        </w:numPr>
        <w:spacing w:lineRule="auto" w:line="312" w:before="0" w:after="0"/>
        <w:ind w:hanging="0" w:left="708"/>
        <w:rPr>
          <w:color w:val="auto"/>
          <w:sz w:val="18"/>
          <w:szCs w:val="18"/>
        </w:rPr>
      </w:pPr>
      <w:r>
        <w:rPr>
          <w:color w:val="auto"/>
          <w:sz w:val="18"/>
          <w:szCs w:val="18"/>
        </w:rPr>
        <w:t>8.1.9 - Paralisar, por determinação do contratante, qualquer atividade que não esteja sendo executada de acordo com a boa técnica ou que ponha em risco a segurança de pessoas ou bens de terceiros.</w:t>
      </w:r>
    </w:p>
    <w:p>
      <w:pPr>
        <w:pStyle w:val="Nivel2"/>
        <w:numPr>
          <w:ilvl w:val="0"/>
          <w:numId w:val="0"/>
        </w:numPr>
        <w:spacing w:lineRule="auto" w:line="312" w:before="0" w:after="0"/>
        <w:ind w:hanging="0" w:left="708"/>
        <w:rPr>
          <w:color w:val="auto"/>
          <w:sz w:val="18"/>
          <w:szCs w:val="18"/>
        </w:rPr>
      </w:pPr>
      <w:r>
        <w:rPr>
          <w:color w:val="auto"/>
          <w:sz w:val="18"/>
          <w:szCs w:val="18"/>
        </w:rPr>
        <w:t xml:space="preserve">8.1.10 - Manter durante toda a vigência do contrato, em compatibilidade com as obrigações assumidas, todas as condições exigidas para habilitação na licitação; </w:t>
      </w:r>
    </w:p>
    <w:p>
      <w:pPr>
        <w:pStyle w:val="Nivel2"/>
        <w:numPr>
          <w:ilvl w:val="0"/>
          <w:numId w:val="0"/>
        </w:numPr>
        <w:spacing w:lineRule="auto" w:line="312" w:before="0" w:after="0"/>
        <w:ind w:hanging="0" w:left="708"/>
        <w:rPr>
          <w:color w:val="auto"/>
          <w:sz w:val="18"/>
          <w:szCs w:val="18"/>
        </w:rPr>
      </w:pPr>
      <w:r>
        <w:rPr>
          <w:color w:val="auto"/>
          <w:sz w:val="18"/>
          <w:szCs w:val="18"/>
        </w:rPr>
        <w:t xml:space="preserve">8.1.11 - Guardar sigilo sobre todas as informações obtidas em decorrência do cumprimento do contrato; </w:t>
      </w:r>
    </w:p>
    <w:p>
      <w:pPr>
        <w:pStyle w:val="Nivel2"/>
        <w:numPr>
          <w:ilvl w:val="0"/>
          <w:numId w:val="0"/>
        </w:numPr>
        <w:spacing w:lineRule="auto" w:line="312" w:before="0" w:after="0"/>
        <w:ind w:hanging="0" w:left="708"/>
        <w:rPr>
          <w:color w:val="auto"/>
          <w:sz w:val="18"/>
          <w:szCs w:val="18"/>
        </w:rPr>
      </w:pPr>
      <w:r>
        <w:rPr>
          <w:color w:val="auto"/>
          <w:sz w:val="18"/>
          <w:szCs w:val="18"/>
        </w:rPr>
        <w:t>8.1.12 -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pPr>
        <w:pStyle w:val="Nivel2"/>
        <w:numPr>
          <w:ilvl w:val="0"/>
          <w:numId w:val="0"/>
        </w:numPr>
        <w:spacing w:lineRule="auto" w:line="312" w:before="0" w:after="0"/>
        <w:ind w:hanging="0" w:left="708"/>
        <w:rPr>
          <w:color w:val="auto"/>
          <w:sz w:val="18"/>
          <w:szCs w:val="18"/>
        </w:rPr>
      </w:pPr>
      <w:r>
        <w:rPr>
          <w:color w:val="auto"/>
          <w:sz w:val="18"/>
          <w:szCs w:val="18"/>
        </w:rPr>
        <w:t>8.1.13 - Cumprir, além dos postulados legais vigentes de âmbito federal, estadual ou municipal, as normas de segurança do contratante;</w:t>
      </w:r>
    </w:p>
    <w:p>
      <w:pPr>
        <w:pStyle w:val="Nvel2-Red"/>
        <w:numPr>
          <w:ilvl w:val="0"/>
          <w:numId w:val="0"/>
        </w:numPr>
        <w:spacing w:lineRule="auto" w:line="312" w:before="0" w:after="0"/>
        <w:ind w:hanging="0" w:left="708"/>
        <w:rPr>
          <w:i w:val="false"/>
          <w:iCs w:val="false"/>
          <w:color w:val="auto"/>
          <w:sz w:val="18"/>
          <w:szCs w:val="18"/>
        </w:rPr>
      </w:pPr>
      <w:bookmarkStart w:id="51" w:name="_Ref118293001"/>
      <w:r>
        <w:rPr>
          <w:i w:val="false"/>
          <w:iCs w:val="false"/>
          <w:color w:val="auto"/>
          <w:sz w:val="18"/>
          <w:szCs w:val="18"/>
        </w:rPr>
        <w:t>8.1.14 -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1"/>
    </w:p>
    <w:p>
      <w:pPr>
        <w:pStyle w:val="Nvel2-Red"/>
        <w:numPr>
          <w:ilvl w:val="0"/>
          <w:numId w:val="0"/>
        </w:numPr>
        <w:spacing w:lineRule="auto" w:line="312" w:before="0" w:after="0"/>
        <w:ind w:hanging="0" w:left="708"/>
        <w:rPr>
          <w:i w:val="false"/>
          <w:iCs w:val="false"/>
          <w:color w:val="auto"/>
          <w:sz w:val="18"/>
          <w:szCs w:val="18"/>
        </w:rPr>
      </w:pPr>
      <w:r>
        <w:rPr>
          <w:i w:val="false"/>
          <w:iCs w:val="false"/>
          <w:color w:val="auto"/>
          <w:sz w:val="18"/>
          <w:szCs w:val="18"/>
        </w:rPr>
        <w:t>8.1.15 - Orientar e treinar seus empregados sobre os deveres previstos na Lei nº 13.709, de 14 de agosto de 2018, adotando medidas eficazes para proteção de dados pessoais a que tenha acesso por força da execução deste contrato;</w:t>
      </w:r>
    </w:p>
    <w:p>
      <w:pPr>
        <w:pStyle w:val="Nvel2-Red"/>
        <w:numPr>
          <w:ilvl w:val="0"/>
          <w:numId w:val="0"/>
        </w:numPr>
        <w:spacing w:lineRule="auto" w:line="312" w:before="0" w:after="0"/>
        <w:ind w:hanging="0" w:left="708"/>
        <w:rPr>
          <w:i w:val="false"/>
          <w:iCs w:val="false"/>
          <w:color w:val="auto"/>
          <w:sz w:val="18"/>
          <w:szCs w:val="18"/>
        </w:rPr>
      </w:pPr>
      <w:r>
        <w:rPr>
          <w:i w:val="false"/>
          <w:iCs w:val="false"/>
          <w:color w:val="auto"/>
          <w:sz w:val="18"/>
          <w:szCs w:val="18"/>
        </w:rPr>
        <w:t>8.1.16 - Executar os serviços com pontualidade, regularidade, segurança, conforto e continuidade, observando rigorosamente os horários, itinerários e demais determinações da Secretaria Municipal de Educação.</w:t>
      </w:r>
    </w:p>
    <w:p>
      <w:pPr>
        <w:pStyle w:val="Nvel2-Red"/>
        <w:numPr>
          <w:ilvl w:val="0"/>
          <w:numId w:val="0"/>
        </w:numPr>
        <w:spacing w:lineRule="auto" w:line="312" w:before="0" w:after="0"/>
        <w:ind w:hanging="0" w:left="708"/>
        <w:rPr>
          <w:i w:val="false"/>
          <w:iCs w:val="false"/>
          <w:color w:val="auto"/>
          <w:sz w:val="18"/>
          <w:szCs w:val="18"/>
        </w:rPr>
      </w:pPr>
      <w:r>
        <w:rPr>
          <w:i w:val="false"/>
          <w:iCs w:val="false"/>
          <w:color w:val="auto"/>
          <w:sz w:val="18"/>
          <w:szCs w:val="18"/>
        </w:rPr>
        <w:t>8.1.17 - Submeter previamente à Administração qualquer solicitação de alteração de veículo, motorista, itinerário ou qualquer condição da execução contratual, somente podendo implementá-la após autorização expressa da fiscalização.</w:t>
      </w:r>
    </w:p>
    <w:p>
      <w:pPr>
        <w:pStyle w:val="Nvel2-Red"/>
        <w:numPr>
          <w:ilvl w:val="2"/>
          <w:numId w:val="30"/>
        </w:numPr>
        <w:spacing w:lineRule="auto" w:line="312" w:before="0" w:after="0"/>
        <w:rPr>
          <w:i w:val="false"/>
          <w:iCs w:val="false"/>
          <w:color w:val="auto"/>
          <w:sz w:val="18"/>
          <w:szCs w:val="18"/>
        </w:rPr>
      </w:pPr>
      <w:bookmarkStart w:id="52" w:name="_Ref118293030"/>
      <w:r>
        <w:rPr>
          <w:i w:val="false"/>
          <w:iCs w:val="false"/>
          <w:color w:val="auto"/>
          <w:sz w:val="18"/>
          <w:szCs w:val="18"/>
        </w:rPr>
        <w:t>-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52"/>
    </w:p>
    <w:p>
      <w:pPr>
        <w:pStyle w:val="Nvel2-Red"/>
        <w:numPr>
          <w:ilvl w:val="2"/>
          <w:numId w:val="30"/>
        </w:numPr>
        <w:spacing w:lineRule="auto" w:line="312" w:before="0" w:after="0"/>
        <w:rPr>
          <w:i w:val="false"/>
          <w:iCs w:val="false"/>
          <w:color w:val="auto"/>
          <w:sz w:val="18"/>
          <w:szCs w:val="18"/>
        </w:rPr>
      </w:pPr>
      <w:r>
        <w:rPr>
          <w:i w:val="false"/>
          <w:iCs w:val="false"/>
          <w:color w:val="auto"/>
          <w:sz w:val="18"/>
          <w:szCs w:val="18"/>
        </w:rPr>
        <w:t>Utilizar exclusivamente veículos que atendam integralmente às exigências do Código de Trânsito Brasileiro, das Resoluções do CONTRAN, da legislação estadual aplicável ao transporte escolar, deste Termo de Referência e do Contrato.</w:t>
      </w:r>
    </w:p>
    <w:p>
      <w:pPr>
        <w:pStyle w:val="Nvel2-Red"/>
        <w:numPr>
          <w:ilvl w:val="2"/>
          <w:numId w:val="20"/>
        </w:numPr>
        <w:spacing w:lineRule="auto" w:line="312" w:before="0" w:after="0"/>
        <w:rPr>
          <w:i w:val="false"/>
          <w:iCs w:val="false"/>
          <w:color w:val="auto"/>
          <w:sz w:val="18"/>
          <w:szCs w:val="18"/>
        </w:rPr>
      </w:pPr>
      <w:r>
        <w:rPr>
          <w:i w:val="false"/>
          <w:iCs w:val="false"/>
          <w:color w:val="auto"/>
          <w:sz w:val="18"/>
          <w:szCs w:val="18"/>
        </w:rPr>
        <w:t>Manter durante toda a execução contratual todos os veículos em perfeitas condições de conservação, funcionamento, higiene, limpeza e segurança.</w:t>
      </w:r>
    </w:p>
    <w:p>
      <w:pPr>
        <w:pStyle w:val="Nvel2-Red"/>
        <w:numPr>
          <w:ilvl w:val="2"/>
          <w:numId w:val="20"/>
        </w:numPr>
        <w:spacing w:lineRule="auto" w:line="312" w:before="0" w:after="0"/>
        <w:rPr>
          <w:i w:val="false"/>
          <w:iCs w:val="false"/>
          <w:color w:val="auto"/>
          <w:sz w:val="18"/>
          <w:szCs w:val="18"/>
        </w:rPr>
      </w:pPr>
      <w:r>
        <w:rPr>
          <w:i w:val="false"/>
          <w:iCs w:val="false"/>
          <w:color w:val="auto"/>
          <w:sz w:val="18"/>
          <w:szCs w:val="18"/>
        </w:rPr>
        <w:t>Disponibilizar veículo reserva compatível para substituição imediata daquele que apresentar defeito mecânico, acidente ou qualquer outra ocorrência que impeça a continuidade da prestação dos serviços.</w:t>
      </w:r>
    </w:p>
    <w:p>
      <w:pPr>
        <w:pStyle w:val="Nvel2-Red"/>
        <w:numPr>
          <w:ilvl w:val="2"/>
          <w:numId w:val="20"/>
        </w:numPr>
        <w:spacing w:lineRule="auto" w:line="312" w:before="0" w:after="0"/>
        <w:rPr>
          <w:i w:val="false"/>
          <w:iCs w:val="false"/>
          <w:color w:val="auto"/>
          <w:sz w:val="18"/>
          <w:szCs w:val="18"/>
        </w:rPr>
      </w:pPr>
      <w:r>
        <w:rPr>
          <w:i w:val="false"/>
          <w:iCs w:val="false"/>
          <w:color w:val="auto"/>
          <w:sz w:val="18"/>
          <w:szCs w:val="18"/>
        </w:rPr>
        <w:t>Garantir que todos os motoristas permaneçam devidamente habilitados durante toda a execução contratual, mantendo válidas as respectivas CNHs, cursos especializados e demais documentos exigidos pela legislação.</w:t>
      </w:r>
    </w:p>
    <w:p>
      <w:pPr>
        <w:pStyle w:val="Nvel2-Red"/>
        <w:numPr>
          <w:ilvl w:val="2"/>
          <w:numId w:val="20"/>
        </w:numPr>
        <w:spacing w:lineRule="auto" w:line="312" w:before="0" w:after="0"/>
        <w:rPr>
          <w:i w:val="false"/>
          <w:iCs w:val="false"/>
          <w:color w:val="auto"/>
          <w:sz w:val="18"/>
          <w:szCs w:val="18"/>
        </w:rPr>
      </w:pPr>
      <w:r>
        <w:rPr>
          <w:i w:val="false"/>
          <w:iCs w:val="false"/>
          <w:color w:val="auto"/>
          <w:sz w:val="18"/>
          <w:szCs w:val="18"/>
        </w:rPr>
        <w:t xml:space="preserve">Manter durante toda a execução contratual os veículos submetidos às vistorias e inspeções exigidas pela legislação e por este Termo de Referência, inclusive à </w:t>
      </w:r>
      <w:r>
        <w:rPr>
          <w:b/>
          <w:bCs/>
          <w:i w:val="false"/>
          <w:iCs w:val="false"/>
          <w:color w:val="auto"/>
          <w:sz w:val="18"/>
          <w:szCs w:val="18"/>
        </w:rPr>
        <w:t>vistoria semestral realizada por engenheiro mecânico devidamente registrado no CREA</w:t>
      </w:r>
      <w:r>
        <w:rPr>
          <w:i w:val="false"/>
          <w:iCs w:val="false"/>
          <w:color w:val="auto"/>
          <w:sz w:val="18"/>
          <w:szCs w:val="18"/>
        </w:rPr>
        <w:t>, bem como às inspeções periódicas realizadas pelo DEMUTRAN ou outro órgão competente, apresentando os respectivos laudos sempre que solicitado pela Administração.</w:t>
      </w:r>
    </w:p>
    <w:p>
      <w:pPr>
        <w:pStyle w:val="Nvel2-Red"/>
        <w:numPr>
          <w:ilvl w:val="2"/>
          <w:numId w:val="20"/>
        </w:numPr>
        <w:spacing w:lineRule="auto" w:line="312" w:before="0" w:after="0"/>
        <w:rPr>
          <w:i w:val="false"/>
          <w:iCs w:val="false"/>
          <w:color w:val="auto"/>
          <w:sz w:val="18"/>
          <w:szCs w:val="18"/>
        </w:rPr>
      </w:pPr>
      <w:r>
        <w:rPr>
          <w:i w:val="false"/>
          <w:iCs w:val="false"/>
          <w:color w:val="auto"/>
          <w:sz w:val="18"/>
          <w:szCs w:val="18"/>
        </w:rPr>
        <w:t>Manter monitor escolar sempre que determinado pela Administração, observando o prazo previsto no Termo de Referência para disponibilização do profissional e atendendo às qualificações eventualmente exigidas.</w:t>
      </w:r>
    </w:p>
    <w:p>
      <w:pPr>
        <w:pStyle w:val="Nvel2-Red"/>
        <w:numPr>
          <w:ilvl w:val="2"/>
          <w:numId w:val="20"/>
        </w:numPr>
        <w:spacing w:lineRule="auto" w:line="312" w:before="0" w:after="0"/>
        <w:rPr>
          <w:i w:val="false"/>
          <w:iCs w:val="false"/>
          <w:color w:val="auto"/>
          <w:sz w:val="18"/>
          <w:szCs w:val="18"/>
        </w:rPr>
      </w:pPr>
      <w:r>
        <w:rPr>
          <w:i w:val="false"/>
          <w:iCs w:val="false"/>
          <w:color w:val="auto"/>
          <w:sz w:val="18"/>
          <w:szCs w:val="18"/>
        </w:rPr>
        <w:t>Manter durante toda a vigência contratual veículos dentro da idade máxima estabelecida neste Termo de Referência, providenciando sua substituição sempre que deixarem de atender esse requisito.</w:t>
      </w:r>
    </w:p>
    <w:p>
      <w:pPr>
        <w:pStyle w:val="Nvel2-Red"/>
        <w:numPr>
          <w:ilvl w:val="2"/>
          <w:numId w:val="20"/>
        </w:numPr>
        <w:spacing w:lineRule="auto" w:line="312" w:before="0" w:after="0"/>
        <w:rPr>
          <w:i w:val="false"/>
          <w:iCs w:val="false"/>
          <w:color w:val="auto"/>
          <w:sz w:val="18"/>
          <w:szCs w:val="18"/>
        </w:rPr>
      </w:pPr>
      <w:r>
        <w:rPr>
          <w:i w:val="false"/>
          <w:iCs w:val="false"/>
          <w:color w:val="auto"/>
          <w:sz w:val="18"/>
          <w:szCs w:val="18"/>
        </w:rPr>
        <w:t>Não transportar passageiros além da capacidade autorizada para cada veículo.</w:t>
      </w:r>
    </w:p>
    <w:p>
      <w:pPr>
        <w:pStyle w:val="Nvel2-Red"/>
        <w:numPr>
          <w:ilvl w:val="2"/>
          <w:numId w:val="20"/>
        </w:numPr>
        <w:spacing w:lineRule="auto" w:line="312" w:before="0" w:after="0"/>
        <w:rPr>
          <w:i w:val="false"/>
          <w:iCs w:val="false"/>
          <w:color w:val="auto"/>
          <w:sz w:val="18"/>
          <w:szCs w:val="18"/>
        </w:rPr>
      </w:pPr>
      <w:r>
        <w:rPr>
          <w:i w:val="false"/>
          <w:iCs w:val="false"/>
          <w:color w:val="auto"/>
          <w:sz w:val="18"/>
          <w:szCs w:val="18"/>
        </w:rPr>
        <w:t>Não interromper os serviços sem prévia autorização da Administração, salvo em situações de emergência devidamente justificadas.</w:t>
      </w:r>
    </w:p>
    <w:p>
      <w:pPr>
        <w:pStyle w:val="Nvel2-Red"/>
        <w:numPr>
          <w:ilvl w:val="2"/>
          <w:numId w:val="20"/>
        </w:numPr>
        <w:spacing w:lineRule="auto" w:line="312" w:before="0" w:after="0"/>
        <w:rPr>
          <w:i w:val="false"/>
          <w:iCs w:val="false"/>
          <w:color w:val="auto"/>
          <w:sz w:val="18"/>
          <w:szCs w:val="18"/>
        </w:rPr>
      </w:pPr>
      <w:r>
        <w:rPr>
          <w:i w:val="false"/>
          <w:iCs w:val="false"/>
          <w:color w:val="auto"/>
          <w:sz w:val="18"/>
          <w:szCs w:val="18"/>
        </w:rPr>
        <w:t>Comunicar imediatamente qualquer acidente envolvendo veículo utilizado na prestação dos serviços, encaminhando relatório circunstanciado à fiscalização no prazo máximo de 24 horas.</w:t>
      </w:r>
    </w:p>
    <w:p>
      <w:pPr>
        <w:pStyle w:val="Nvel2-Red"/>
        <w:numPr>
          <w:ilvl w:val="2"/>
          <w:numId w:val="20"/>
        </w:numPr>
        <w:spacing w:lineRule="auto" w:line="312" w:before="0" w:after="0"/>
        <w:rPr>
          <w:i w:val="false"/>
          <w:iCs w:val="false"/>
          <w:color w:val="auto"/>
          <w:sz w:val="18"/>
          <w:szCs w:val="18"/>
        </w:rPr>
      </w:pPr>
      <w:r>
        <w:rPr>
          <w:i w:val="false"/>
          <w:iCs w:val="false"/>
          <w:color w:val="auto"/>
          <w:sz w:val="18"/>
          <w:szCs w:val="18"/>
        </w:rPr>
        <w:t>Atender prontamente às determinações da fiscalização, promovendo imediatamente as correções exigidas.</w:t>
      </w:r>
    </w:p>
    <w:p>
      <w:pPr>
        <w:pStyle w:val="Nvel2-Red"/>
        <w:numPr>
          <w:ilvl w:val="2"/>
          <w:numId w:val="20"/>
        </w:numPr>
        <w:spacing w:lineRule="auto" w:line="312" w:before="0" w:after="0"/>
        <w:rPr>
          <w:i w:val="false"/>
          <w:iCs w:val="false"/>
          <w:color w:val="auto"/>
          <w:sz w:val="18"/>
          <w:szCs w:val="18"/>
        </w:rPr>
      </w:pPr>
      <w:r>
        <w:rPr>
          <w:i w:val="false"/>
          <w:iCs w:val="false"/>
          <w:color w:val="auto"/>
          <w:sz w:val="18"/>
          <w:szCs w:val="18"/>
        </w:rPr>
        <w:t>Responsabilizar-se integralmente pelos salários, encargos trabalhistas, previdenciários, tributários, securitários e demais obrigações decorrentes da execução contratual, não se estabelecendo qualquer vínculo entre os empregados da contratada e o Município.</w:t>
      </w:r>
    </w:p>
    <w:p>
      <w:pPr>
        <w:pStyle w:val="Nvel2-Red"/>
        <w:numPr>
          <w:ilvl w:val="2"/>
          <w:numId w:val="20"/>
        </w:numPr>
        <w:spacing w:lineRule="auto" w:line="312" w:before="0" w:after="0"/>
        <w:rPr>
          <w:b/>
          <w:bCs/>
          <w:i w:val="false"/>
          <w:iCs w:val="false"/>
          <w:color w:val="auto"/>
          <w:sz w:val="18"/>
          <w:szCs w:val="18"/>
        </w:rPr>
      </w:pPr>
      <w:r>
        <w:rPr>
          <w:i w:val="false"/>
          <w:iCs w:val="false"/>
          <w:color w:val="auto"/>
          <w:sz w:val="18"/>
          <w:szCs w:val="18"/>
        </w:rPr>
        <w:t>Observar integralmente a legislação relativa à proteção de crianças e adolescentes, adotando conduta compatível com a natureza do serviço de transporte escolar e zelando pela integridade física e moral dos estudantes transportados.</w:t>
      </w:r>
    </w:p>
    <w:p>
      <w:pPr>
        <w:pStyle w:val="Nvel2-Red"/>
        <w:numPr>
          <w:ilvl w:val="0"/>
          <w:numId w:val="0"/>
        </w:numPr>
        <w:spacing w:lineRule="auto" w:line="312" w:before="0" w:after="0"/>
        <w:ind w:hanging="0" w:left="708"/>
        <w:rPr>
          <w:i w:val="false"/>
          <w:iCs w:val="false"/>
          <w:color w:val="auto"/>
          <w:sz w:val="18"/>
          <w:szCs w:val="18"/>
        </w:rPr>
      </w:pPr>
      <w:r>
        <w:rPr>
          <w:i w:val="false"/>
          <w:iCs w:val="false"/>
          <w:color w:val="auto"/>
          <w:sz w:val="18"/>
          <w:szCs w:val="18"/>
        </w:rPr>
      </w:r>
    </w:p>
    <w:p>
      <w:pPr>
        <w:pStyle w:val="Nivel01"/>
        <w:numPr>
          <w:ilvl w:val="0"/>
          <w:numId w:val="0"/>
        </w:numPr>
        <w:spacing w:before="0" w:after="0"/>
        <w:ind w:hanging="0" w:left="0"/>
        <w:rPr>
          <w:color w:val="000000"/>
          <w:sz w:val="18"/>
          <w:szCs w:val="18"/>
        </w:rPr>
      </w:pPr>
      <w:r>
        <w:rPr>
          <w:color w:val="000000"/>
          <w:sz w:val="18"/>
          <w:szCs w:val="18"/>
        </w:rPr>
        <w:t>9 - MODELO DE GESTÃO E FISCALIZAÇÃO DO CONTRATO</w:t>
      </w:r>
    </w:p>
    <w:p>
      <w:pPr>
        <w:pStyle w:val="Nivel2"/>
        <w:numPr>
          <w:ilvl w:val="0"/>
          <w:numId w:val="0"/>
        </w:numPr>
        <w:spacing w:lineRule="auto" w:line="312" w:before="0" w:after="0"/>
        <w:ind w:hanging="0" w:left="0"/>
        <w:rPr>
          <w:sz w:val="18"/>
          <w:szCs w:val="18"/>
        </w:rPr>
      </w:pPr>
      <w:r>
        <w:rPr>
          <w:sz w:val="18"/>
          <w:szCs w:val="18"/>
        </w:rPr>
        <w:t>9.1 A gestão do contrato será exercida pelo Secretário Municipal de Educação ou por servidor formalmente designado pela Administração, competindo-lhe acompanhar a execução contratual, adotar as providências necessárias ao seu regular cumprimento e praticar os atos de gestão previstos na Lei Federal nº 14.133/2021 e na regulamentação municipal.</w:t>
      </w:r>
    </w:p>
    <w:p>
      <w:pPr>
        <w:pStyle w:val="Nivel2"/>
        <w:numPr>
          <w:ilvl w:val="0"/>
          <w:numId w:val="0"/>
        </w:numPr>
        <w:spacing w:lineRule="auto" w:line="312" w:before="0" w:after="0"/>
        <w:ind w:hanging="0" w:left="0"/>
        <w:rPr>
          <w:sz w:val="18"/>
          <w:szCs w:val="18"/>
        </w:rPr>
      </w:pPr>
      <w:r>
        <w:rPr>
          <w:sz w:val="18"/>
          <w:szCs w:val="18"/>
        </w:rPr>
        <w:t xml:space="preserve">9.2 - </w:t>
      </w:r>
      <w:r>
        <w:rPr>
          <w:rFonts w:eastAsia="Calibri"/>
          <w:sz w:val="18"/>
          <w:szCs w:val="18"/>
          <w:lang w:eastAsia="en-US"/>
        </w:rPr>
        <w:t>A fiscalização do contrato será exercida por servidor(es) designado(s) por Portaria, competindo-lhes acompanhar diariamente a execução dos serviços, registrar ocorrências, emitir relatórios, atestar as medições mensais e comunicar ao Gestor do Contrato quaisquer irregularidades verificadas.</w:t>
      </w:r>
    </w:p>
    <w:p>
      <w:pPr>
        <w:pStyle w:val="Nivel2"/>
        <w:numPr>
          <w:ilvl w:val="0"/>
          <w:numId w:val="0"/>
        </w:numPr>
        <w:spacing w:lineRule="auto" w:line="312" w:before="0" w:after="0"/>
        <w:ind w:hanging="0" w:left="0"/>
        <w:rPr>
          <w:sz w:val="18"/>
          <w:szCs w:val="18"/>
        </w:rPr>
      </w:pPr>
      <w:r>
        <w:rPr>
          <w:sz w:val="18"/>
          <w:szCs w:val="18"/>
        </w:rPr>
        <w:t>9.3 - O contrato deverá ser executado fielmente pelas partes, de acordo com as cláusulas avençadas e as normas da Lei nº 14.133, de 2021, e cada parte responderá pelas consequências de sua inexecução total ou parcial.</w:t>
      </w:r>
    </w:p>
    <w:p>
      <w:pPr>
        <w:pStyle w:val="Nivel2"/>
        <w:numPr>
          <w:ilvl w:val="0"/>
          <w:numId w:val="0"/>
        </w:numPr>
        <w:spacing w:lineRule="auto" w:line="312" w:before="0" w:after="0"/>
        <w:ind w:hanging="0" w:left="0"/>
        <w:rPr>
          <w:sz w:val="18"/>
          <w:szCs w:val="18"/>
        </w:rPr>
      </w:pPr>
      <w:r>
        <w:rPr>
          <w:sz w:val="18"/>
          <w:szCs w:val="18"/>
        </w:rPr>
        <w:t>9.4 - Em caso de impedimento, ordem de paralisação ou suspensão da execução contratual por determinação da Administração ou por motivo legalmente justificado, os prazos contratuais serão prorrogados automaticamente pelo tempo correspondente, mediante apostilamento, quando cabível.</w:t>
      </w:r>
    </w:p>
    <w:p>
      <w:pPr>
        <w:pStyle w:val="Nivel2"/>
        <w:numPr>
          <w:ilvl w:val="0"/>
          <w:numId w:val="0"/>
        </w:numPr>
        <w:spacing w:lineRule="auto" w:line="312" w:before="0" w:after="0"/>
        <w:ind w:hanging="0" w:left="0"/>
        <w:rPr>
          <w:sz w:val="18"/>
          <w:szCs w:val="18"/>
        </w:rPr>
      </w:pPr>
      <w:r>
        <w:rPr>
          <w:sz w:val="18"/>
          <w:szCs w:val="18"/>
        </w:rPr>
        <w:t>9.5 - As comunicações entre o órgão ou entidade e a contratada devem ser realizadas por escrito sempre que o ato exigir tal formalidade, admitindo-se o uso de mensagem eletrônica para esse fim.</w:t>
      </w:r>
    </w:p>
    <w:p>
      <w:pPr>
        <w:pStyle w:val="Nivel2"/>
        <w:numPr>
          <w:ilvl w:val="0"/>
          <w:numId w:val="0"/>
        </w:numPr>
        <w:spacing w:lineRule="auto" w:line="312" w:before="0" w:after="0"/>
        <w:ind w:hanging="0" w:left="0"/>
        <w:rPr>
          <w:sz w:val="18"/>
          <w:szCs w:val="18"/>
        </w:rPr>
      </w:pPr>
      <w:r>
        <w:rPr>
          <w:sz w:val="18"/>
          <w:szCs w:val="18"/>
        </w:rPr>
        <w:t>9.6 - O órgão ou entidade poderá convocar representante da empresa para adoção de providências que devam ser cumpridas de imediato.</w:t>
      </w:r>
    </w:p>
    <w:p>
      <w:pPr>
        <w:pStyle w:val="Nvel2-Red"/>
        <w:numPr>
          <w:ilvl w:val="0"/>
          <w:numId w:val="0"/>
        </w:numPr>
        <w:spacing w:lineRule="auto" w:line="312"/>
        <w:ind w:hanging="0" w:left="0"/>
        <w:rPr>
          <w:i w:val="false"/>
          <w:iCs w:val="false"/>
          <w:color w:val="auto"/>
          <w:sz w:val="18"/>
          <w:szCs w:val="18"/>
        </w:rPr>
      </w:pPr>
      <w:r>
        <w:rPr>
          <w:i w:val="false"/>
          <w:iCs w:val="false"/>
          <w:color w:val="auto"/>
          <w:sz w:val="18"/>
          <w:szCs w:val="18"/>
        </w:rPr>
        <w:t>9.7 - Antes do início da execução dos serviços, a Administração poderá promover reunião inicial com a contratada, o Gestor do Contrato, o(s) Fiscal(is) do Contrato e representantes da Secretaria Municipal de Educação, oportunidade em que serão apresentados:</w:t>
      </w:r>
    </w:p>
    <w:p>
      <w:pPr>
        <w:pStyle w:val="Nvel2-Red"/>
        <w:numPr>
          <w:ilvl w:val="0"/>
          <w:numId w:val="0"/>
        </w:numPr>
        <w:spacing w:lineRule="auto" w:line="312" w:before="0" w:after="0"/>
        <w:ind w:hanging="0" w:left="0"/>
        <w:rPr>
          <w:i w:val="false"/>
          <w:iCs w:val="false"/>
          <w:color w:val="auto"/>
          <w:sz w:val="18"/>
          <w:szCs w:val="18"/>
        </w:rPr>
      </w:pPr>
      <w:r>
        <w:rPr>
          <w:i w:val="false"/>
          <w:iCs w:val="false"/>
          <w:color w:val="auto"/>
          <w:sz w:val="18"/>
          <w:szCs w:val="18"/>
        </w:rPr>
        <w:t>I – os itinerários e horários das linhas;</w:t>
      </w:r>
    </w:p>
    <w:p>
      <w:pPr>
        <w:pStyle w:val="Nvel2-Red"/>
        <w:numPr>
          <w:ilvl w:val="0"/>
          <w:numId w:val="0"/>
        </w:numPr>
        <w:spacing w:lineRule="auto" w:line="312" w:before="0" w:after="0"/>
        <w:ind w:hanging="0" w:left="0"/>
        <w:rPr>
          <w:i w:val="false"/>
          <w:iCs w:val="false"/>
          <w:color w:val="auto"/>
          <w:sz w:val="18"/>
          <w:szCs w:val="18"/>
        </w:rPr>
      </w:pPr>
      <w:r>
        <w:rPr>
          <w:i w:val="false"/>
          <w:iCs w:val="false"/>
          <w:color w:val="auto"/>
          <w:sz w:val="18"/>
          <w:szCs w:val="18"/>
        </w:rPr>
        <w:t>II – os procedimentos de fiscalização;</w:t>
      </w:r>
    </w:p>
    <w:p>
      <w:pPr>
        <w:pStyle w:val="Nvel2-Red"/>
        <w:numPr>
          <w:ilvl w:val="0"/>
          <w:numId w:val="0"/>
        </w:numPr>
        <w:spacing w:lineRule="auto" w:line="312" w:before="0" w:after="0"/>
        <w:ind w:hanging="0" w:left="0"/>
        <w:rPr>
          <w:i w:val="false"/>
          <w:iCs w:val="false"/>
          <w:color w:val="auto"/>
          <w:sz w:val="18"/>
          <w:szCs w:val="18"/>
        </w:rPr>
      </w:pPr>
      <w:r>
        <w:rPr>
          <w:i w:val="false"/>
          <w:iCs w:val="false"/>
          <w:color w:val="auto"/>
          <w:sz w:val="18"/>
          <w:szCs w:val="18"/>
        </w:rPr>
        <w:t>III – os critérios de medição dos serviços;</w:t>
      </w:r>
    </w:p>
    <w:p>
      <w:pPr>
        <w:pStyle w:val="Nvel2-Red"/>
        <w:numPr>
          <w:ilvl w:val="0"/>
          <w:numId w:val="0"/>
        </w:numPr>
        <w:spacing w:lineRule="auto" w:line="312" w:before="0" w:after="0"/>
        <w:ind w:hanging="0" w:left="0"/>
        <w:rPr>
          <w:i w:val="false"/>
          <w:iCs w:val="false"/>
          <w:color w:val="auto"/>
          <w:sz w:val="18"/>
          <w:szCs w:val="18"/>
        </w:rPr>
      </w:pPr>
      <w:r>
        <w:rPr>
          <w:i w:val="false"/>
          <w:iCs w:val="false"/>
          <w:color w:val="auto"/>
          <w:sz w:val="18"/>
          <w:szCs w:val="18"/>
        </w:rPr>
        <w:t>IV – a forma de comunicação entre as partes;</w:t>
      </w:r>
    </w:p>
    <w:p>
      <w:pPr>
        <w:pStyle w:val="Nvel2-Red"/>
        <w:numPr>
          <w:ilvl w:val="0"/>
          <w:numId w:val="0"/>
        </w:numPr>
        <w:spacing w:lineRule="auto" w:line="312" w:before="0" w:after="0"/>
        <w:ind w:hanging="0" w:left="0"/>
        <w:rPr>
          <w:i w:val="false"/>
          <w:iCs w:val="false"/>
          <w:color w:val="auto"/>
          <w:sz w:val="18"/>
          <w:szCs w:val="18"/>
        </w:rPr>
      </w:pPr>
      <w:r>
        <w:rPr>
          <w:i w:val="false"/>
          <w:iCs w:val="false"/>
          <w:color w:val="auto"/>
          <w:sz w:val="18"/>
          <w:szCs w:val="18"/>
        </w:rPr>
        <w:t>V – os procedimentos para substituição de veículos e motoristas;</w:t>
      </w:r>
    </w:p>
    <w:p>
      <w:pPr>
        <w:pStyle w:val="Nvel2-Red"/>
        <w:numPr>
          <w:ilvl w:val="0"/>
          <w:numId w:val="0"/>
        </w:numPr>
        <w:spacing w:lineRule="auto" w:line="312" w:before="0" w:after="0"/>
        <w:ind w:hanging="0" w:left="0"/>
        <w:rPr>
          <w:i w:val="false"/>
          <w:iCs w:val="false"/>
          <w:color w:val="auto"/>
          <w:sz w:val="18"/>
          <w:szCs w:val="18"/>
        </w:rPr>
      </w:pPr>
      <w:r>
        <w:rPr>
          <w:i w:val="false"/>
          <w:iCs w:val="false"/>
          <w:color w:val="auto"/>
          <w:sz w:val="18"/>
          <w:szCs w:val="18"/>
        </w:rPr>
        <w:t>VI – os documentos que deverão ser apresentados durante a execução contratual;</w:t>
      </w:r>
    </w:p>
    <w:p>
      <w:pPr>
        <w:pStyle w:val="Nvel2-Red"/>
        <w:numPr>
          <w:ilvl w:val="0"/>
          <w:numId w:val="0"/>
        </w:numPr>
        <w:spacing w:lineRule="auto" w:line="312" w:before="0" w:after="0"/>
        <w:ind w:hanging="0" w:left="0"/>
        <w:rPr>
          <w:i w:val="false"/>
          <w:iCs w:val="false"/>
          <w:color w:val="auto"/>
          <w:sz w:val="18"/>
          <w:szCs w:val="18"/>
        </w:rPr>
      </w:pPr>
      <w:r>
        <w:rPr>
          <w:i w:val="false"/>
          <w:iCs w:val="false"/>
          <w:color w:val="auto"/>
          <w:sz w:val="18"/>
          <w:szCs w:val="18"/>
        </w:rPr>
        <w:t>VII – as hipóteses de aplicação de penalidades;</w:t>
      </w:r>
    </w:p>
    <w:p>
      <w:pPr>
        <w:pStyle w:val="Nvel2-Red"/>
        <w:numPr>
          <w:ilvl w:val="0"/>
          <w:numId w:val="0"/>
        </w:numPr>
        <w:spacing w:lineRule="auto" w:line="312" w:before="0" w:after="0"/>
        <w:ind w:hanging="0" w:left="0"/>
        <w:rPr>
          <w:i w:val="false"/>
          <w:iCs w:val="false"/>
          <w:color w:val="auto"/>
          <w:sz w:val="18"/>
          <w:szCs w:val="18"/>
        </w:rPr>
      </w:pPr>
      <w:r>
        <w:rPr>
          <w:i w:val="false"/>
          <w:iCs w:val="false"/>
          <w:color w:val="auto"/>
          <w:sz w:val="18"/>
          <w:szCs w:val="18"/>
        </w:rPr>
        <w:t>VIII – demais orientações necessárias ao início da execução.</w:t>
      </w:r>
    </w:p>
    <w:p>
      <w:pPr>
        <w:pStyle w:val="Nvel2-Red"/>
        <w:numPr>
          <w:ilvl w:val="0"/>
          <w:numId w:val="0"/>
        </w:numPr>
        <w:spacing w:lineRule="auto" w:line="312" w:before="0" w:after="0"/>
        <w:ind w:hanging="0" w:left="0"/>
        <w:rPr>
          <w:i w:val="false"/>
          <w:iCs w:val="false"/>
          <w:color w:val="auto"/>
          <w:sz w:val="18"/>
          <w:szCs w:val="18"/>
        </w:rPr>
      </w:pPr>
      <w:r>
        <w:rPr>
          <w:b/>
          <w:bCs/>
          <w:i w:val="false"/>
          <w:iCs w:val="false"/>
          <w:color w:val="auto"/>
          <w:sz w:val="18"/>
          <w:szCs w:val="18"/>
        </w:rPr>
        <w:t>9.8.</w:t>
      </w:r>
      <w:r>
        <w:rPr>
          <w:i w:val="false"/>
          <w:iCs w:val="false"/>
          <w:color w:val="auto"/>
          <w:sz w:val="18"/>
          <w:szCs w:val="18"/>
        </w:rPr>
        <w:t xml:space="preserve"> Compete ao Fiscal do Contrato verificar o cumprimento dos itinerários, horários, condições dos veículos, habilitação dos motoristas, segurança dos estudantes e demais obrigações previstas neste Termo de Referência.</w:t>
      </w:r>
    </w:p>
    <w:p>
      <w:pPr>
        <w:pStyle w:val="Nvel2-Red"/>
        <w:numPr>
          <w:ilvl w:val="0"/>
          <w:numId w:val="0"/>
        </w:numPr>
        <w:spacing w:lineRule="auto" w:line="312" w:before="0" w:after="0"/>
        <w:ind w:hanging="0" w:left="0"/>
        <w:rPr>
          <w:i w:val="false"/>
          <w:iCs w:val="false"/>
          <w:color w:val="auto"/>
          <w:sz w:val="18"/>
          <w:szCs w:val="18"/>
        </w:rPr>
      </w:pPr>
      <w:r>
        <w:rPr>
          <w:b/>
          <w:bCs/>
          <w:i w:val="false"/>
          <w:iCs w:val="false"/>
          <w:color w:val="auto"/>
          <w:sz w:val="18"/>
          <w:szCs w:val="18"/>
        </w:rPr>
        <w:t>9.9.</w:t>
      </w:r>
      <w:r>
        <w:rPr>
          <w:i w:val="false"/>
          <w:iCs w:val="false"/>
          <w:color w:val="auto"/>
          <w:sz w:val="18"/>
          <w:szCs w:val="18"/>
        </w:rPr>
        <w:t xml:space="preserve"> Toda ocorrência verificada durante a execução contratual deverá ser registrada em relatório próprio ou outro meio oficialmente adotado pela Administração, servindo como elemento para medição dos serviços, aplicação de penalidades e demais providências administrativas.</w:t>
      </w:r>
    </w:p>
    <w:p>
      <w:pPr>
        <w:pStyle w:val="Nvel2-Red"/>
        <w:numPr>
          <w:ilvl w:val="0"/>
          <w:numId w:val="0"/>
        </w:numPr>
        <w:spacing w:lineRule="auto" w:line="312" w:before="0" w:after="0"/>
        <w:ind w:hanging="0" w:left="0"/>
        <w:rPr>
          <w:i w:val="false"/>
          <w:iCs w:val="false"/>
          <w:color w:val="auto"/>
          <w:sz w:val="18"/>
          <w:szCs w:val="18"/>
        </w:rPr>
      </w:pPr>
      <w:r>
        <w:rPr>
          <w:b/>
          <w:bCs/>
          <w:i w:val="false"/>
          <w:iCs w:val="false"/>
          <w:color w:val="auto"/>
          <w:sz w:val="18"/>
          <w:szCs w:val="18"/>
        </w:rPr>
        <w:t>9.10.</w:t>
      </w:r>
      <w:r>
        <w:rPr>
          <w:i w:val="false"/>
          <w:iCs w:val="false"/>
          <w:color w:val="auto"/>
          <w:sz w:val="18"/>
          <w:szCs w:val="18"/>
        </w:rPr>
        <w:t xml:space="preserve"> O Gestor do Contrato poderá determinar a realização de diligências, inspeções, vistorias e auditorias sempre que necessário para verificar o cumprimento das obrigações contratuais.</w:t>
      </w:r>
    </w:p>
    <w:p>
      <w:pPr>
        <w:pStyle w:val="Nvel2-Red"/>
        <w:numPr>
          <w:ilvl w:val="0"/>
          <w:numId w:val="0"/>
        </w:numPr>
        <w:spacing w:lineRule="auto" w:line="312" w:before="0" w:after="0"/>
        <w:ind w:hanging="0" w:left="0"/>
        <w:rPr>
          <w:i w:val="false"/>
          <w:iCs w:val="false"/>
          <w:color w:val="auto"/>
          <w:sz w:val="18"/>
          <w:szCs w:val="18"/>
        </w:rPr>
      </w:pPr>
      <w:r>
        <w:rPr>
          <w:b/>
          <w:bCs/>
          <w:i w:val="false"/>
          <w:iCs w:val="false"/>
          <w:color w:val="auto"/>
          <w:sz w:val="18"/>
          <w:szCs w:val="18"/>
        </w:rPr>
        <w:t>9.11.</w:t>
      </w:r>
      <w:r>
        <w:rPr>
          <w:i w:val="false"/>
          <w:iCs w:val="false"/>
          <w:color w:val="auto"/>
          <w:sz w:val="18"/>
          <w:szCs w:val="18"/>
        </w:rPr>
        <w:t xml:space="preserve"> O atesto da execução dos serviços não exclui a responsabilidade da contratada por vícios, falhas, irregularidades ou danos posteriormente constatados.</w:t>
      </w:r>
    </w:p>
    <w:p>
      <w:pPr>
        <w:pStyle w:val="Nvel2-Red"/>
        <w:numPr>
          <w:ilvl w:val="0"/>
          <w:numId w:val="0"/>
        </w:numPr>
        <w:spacing w:lineRule="auto" w:line="312" w:before="0" w:after="0"/>
        <w:ind w:hanging="0" w:left="0"/>
        <w:rPr>
          <w:i w:val="false"/>
          <w:iCs w:val="false"/>
          <w:color w:val="auto"/>
          <w:sz w:val="18"/>
          <w:szCs w:val="18"/>
        </w:rPr>
      </w:pPr>
      <w:r>
        <w:rPr>
          <w:b/>
          <w:bCs/>
          <w:i w:val="false"/>
          <w:iCs w:val="false"/>
          <w:color w:val="auto"/>
          <w:sz w:val="18"/>
          <w:szCs w:val="18"/>
        </w:rPr>
        <w:t>9.12.</w:t>
      </w:r>
      <w:r>
        <w:rPr>
          <w:i w:val="false"/>
          <w:iCs w:val="false"/>
          <w:color w:val="auto"/>
          <w:sz w:val="18"/>
          <w:szCs w:val="18"/>
        </w:rPr>
        <w:t xml:space="preserve"> A contratada deverá atender prontamente às determinações da fiscalização, promovendo as correções exigidas no prazo fixado pela Administração, sem prejuízo da aplicação das penalidades cabíveis.</w:t>
      </w:r>
    </w:p>
    <w:p>
      <w:pPr>
        <w:pStyle w:val="Nvel2-Red"/>
        <w:numPr>
          <w:ilvl w:val="0"/>
          <w:numId w:val="0"/>
        </w:numPr>
        <w:spacing w:lineRule="auto" w:line="312" w:before="0" w:after="0"/>
        <w:ind w:hanging="0" w:left="0"/>
        <w:rPr>
          <w:i w:val="false"/>
          <w:iCs w:val="false"/>
          <w:color w:val="auto"/>
          <w:sz w:val="18"/>
          <w:szCs w:val="18"/>
        </w:rPr>
      </w:pPr>
      <w:r>
        <w:rPr>
          <w:b/>
          <w:bCs/>
          <w:i w:val="false"/>
          <w:iCs w:val="false"/>
          <w:color w:val="auto"/>
          <w:sz w:val="18"/>
          <w:szCs w:val="18"/>
        </w:rPr>
        <w:t>9.13.</w:t>
      </w:r>
      <w:r>
        <w:rPr>
          <w:i w:val="false"/>
          <w:iCs w:val="false"/>
          <w:color w:val="auto"/>
          <w:sz w:val="18"/>
          <w:szCs w:val="18"/>
        </w:rPr>
        <w:t xml:space="preserve"> A fiscalização exercida pela Administração não exclui nem reduz a responsabilidade exclusiva da contratada pela execução dos serviços, pela segurança dos estudantes transportados e pelo cumprimento de todas as obrigações legais e contratuais.</w:t>
      </w:r>
    </w:p>
    <w:p>
      <w:pPr>
        <w:pStyle w:val="Nvel2-Red"/>
        <w:numPr>
          <w:ilvl w:val="0"/>
          <w:numId w:val="0"/>
        </w:numPr>
        <w:spacing w:lineRule="auto" w:line="312" w:before="0" w:after="0"/>
        <w:ind w:hanging="0" w:left="0"/>
        <w:rPr>
          <w:b/>
          <w:bCs/>
          <w:i w:val="false"/>
          <w:iCs w:val="false"/>
          <w:color w:val="auto"/>
          <w:sz w:val="18"/>
          <w:szCs w:val="18"/>
        </w:rPr>
      </w:pPr>
      <w:r>
        <w:rPr>
          <w:b/>
          <w:bCs/>
          <w:i w:val="false"/>
          <w:iCs w:val="false"/>
          <w:color w:val="auto"/>
          <w:sz w:val="18"/>
          <w:szCs w:val="18"/>
        </w:rPr>
        <w:t>10 – CRITÉRIOS DE MEDIÇÃO E PAGAMENTO (art. 92, incisos V e VI, da Lei nº 14.133/2021).</w:t>
      </w:r>
    </w:p>
    <w:p>
      <w:pPr>
        <w:pStyle w:val="Nvel2-Red"/>
        <w:numPr>
          <w:ilvl w:val="0"/>
          <w:numId w:val="0"/>
        </w:numPr>
        <w:spacing w:lineRule="auto" w:line="312" w:before="0" w:after="0"/>
        <w:ind w:hanging="0" w:left="0"/>
        <w:rPr>
          <w:i w:val="false"/>
          <w:iCs w:val="false"/>
          <w:color w:val="auto"/>
          <w:sz w:val="18"/>
          <w:szCs w:val="18"/>
        </w:rPr>
      </w:pPr>
      <w:r>
        <w:rPr>
          <w:i w:val="false"/>
          <w:iCs w:val="false"/>
          <w:color w:val="auto"/>
          <w:sz w:val="18"/>
          <w:szCs w:val="18"/>
        </w:rPr>
        <w:t>10.1 – DA MEDIÇÃO DOS SERVIÇOS</w:t>
      </w:r>
    </w:p>
    <w:p>
      <w:pPr>
        <w:pStyle w:val="Nvel2-Red"/>
        <w:numPr>
          <w:ilvl w:val="0"/>
          <w:numId w:val="0"/>
        </w:numPr>
        <w:spacing w:lineRule="auto" w:line="312" w:before="0" w:after="0"/>
        <w:ind w:hanging="0" w:left="0"/>
        <w:rPr>
          <w:i w:val="false"/>
          <w:iCs w:val="false"/>
          <w:color w:val="auto"/>
          <w:sz w:val="18"/>
          <w:szCs w:val="18"/>
        </w:rPr>
      </w:pPr>
      <w:r>
        <w:rPr>
          <w:i w:val="false"/>
          <w:iCs w:val="false"/>
          <w:color w:val="auto"/>
          <w:sz w:val="18"/>
          <w:szCs w:val="18"/>
        </w:rPr>
        <w:t>10.1.1. A medição dos serviços será realizada mensalmente pelo Fiscal do Contrato, com base na efetiva execução das linhas contratadas, observando os itinerários, dias letivos, quilometragem executada, horários, veículos utilizados e demais condições estabelecidas neste Termo de Referência.</w:t>
      </w:r>
    </w:p>
    <w:p>
      <w:pPr>
        <w:pStyle w:val="Nvel2-Red"/>
        <w:numPr>
          <w:ilvl w:val="0"/>
          <w:numId w:val="0"/>
        </w:numPr>
        <w:spacing w:lineRule="auto" w:line="312" w:before="0" w:after="0"/>
        <w:ind w:hanging="0" w:left="0"/>
        <w:rPr>
          <w:i w:val="false"/>
          <w:iCs w:val="false"/>
          <w:color w:val="auto"/>
          <w:sz w:val="18"/>
          <w:szCs w:val="18"/>
        </w:rPr>
      </w:pPr>
      <w:r>
        <w:rPr>
          <w:i w:val="false"/>
          <w:iCs w:val="false"/>
          <w:color w:val="auto"/>
          <w:sz w:val="18"/>
          <w:szCs w:val="18"/>
        </w:rPr>
        <w:t>10.1.2. A medição considerará exclusivamente os serviços efetivamente prestados e devidamente atestados pela fiscalização, não sendo devido pagamento por serviços não executados ou executados em desacordo com as condições contratuais.</w:t>
      </w:r>
    </w:p>
    <w:p>
      <w:pPr>
        <w:pStyle w:val="Nvel2-Red"/>
        <w:numPr>
          <w:ilvl w:val="0"/>
          <w:numId w:val="0"/>
        </w:numPr>
        <w:spacing w:lineRule="auto" w:line="312" w:before="0" w:after="0"/>
        <w:ind w:hanging="0" w:left="0"/>
        <w:rPr>
          <w:i w:val="false"/>
          <w:iCs w:val="false"/>
          <w:color w:val="auto"/>
          <w:sz w:val="18"/>
          <w:szCs w:val="18"/>
        </w:rPr>
      </w:pPr>
      <w:r>
        <w:rPr>
          <w:i w:val="false"/>
          <w:iCs w:val="false"/>
          <w:color w:val="auto"/>
          <w:sz w:val="18"/>
          <w:szCs w:val="18"/>
        </w:rPr>
        <w:t>10.1.3. A fiscalização poderá promover conferências, inspeções, diligências e demais verificações necessárias para comprovação da correta execução dos serviços.</w:t>
      </w:r>
    </w:p>
    <w:p>
      <w:pPr>
        <w:pStyle w:val="Nvel2-Red"/>
        <w:numPr>
          <w:ilvl w:val="0"/>
          <w:numId w:val="0"/>
        </w:numPr>
        <w:spacing w:lineRule="auto" w:line="312" w:before="0" w:after="0"/>
        <w:ind w:hanging="0" w:left="0"/>
        <w:rPr>
          <w:i w:val="false"/>
          <w:iCs w:val="false"/>
          <w:color w:val="auto"/>
          <w:sz w:val="18"/>
          <w:szCs w:val="18"/>
        </w:rPr>
      </w:pPr>
      <w:r>
        <w:rPr>
          <w:i w:val="false"/>
          <w:iCs w:val="false"/>
          <w:color w:val="auto"/>
          <w:sz w:val="18"/>
          <w:szCs w:val="18"/>
        </w:rPr>
        <w:t>10.1.4. Constatadas irregularidades na execução dos serviços, a Administração poderá realizar glosas proporcionais, sem prejuízo da aplicação das penalidades previstas no Contrato e na legislação vigente.</w:t>
      </w:r>
    </w:p>
    <w:p>
      <w:pPr>
        <w:pStyle w:val="Nvel2-Red"/>
        <w:numPr>
          <w:ilvl w:val="0"/>
          <w:numId w:val="0"/>
        </w:numPr>
        <w:spacing w:lineRule="auto" w:line="312" w:before="0" w:after="0"/>
        <w:ind w:hanging="0" w:left="0"/>
        <w:rPr>
          <w:i w:val="false"/>
          <w:iCs w:val="false"/>
          <w:color w:val="auto"/>
          <w:sz w:val="18"/>
          <w:szCs w:val="18"/>
        </w:rPr>
      </w:pPr>
      <w:r>
        <w:rPr>
          <w:i w:val="false"/>
          <w:iCs w:val="false"/>
          <w:color w:val="auto"/>
          <w:sz w:val="18"/>
          <w:szCs w:val="18"/>
        </w:rPr>
        <w:t>10.2 - FORMA DE PAGAMENTO</w:t>
      </w:r>
    </w:p>
    <w:p>
      <w:pPr>
        <w:pStyle w:val="Normal"/>
        <w:spacing w:lineRule="auto" w:line="312"/>
        <w:jc w:val="both"/>
        <w:rPr>
          <w:rFonts w:ascii="Arial" w:hAnsi="Arial" w:cs="Arial"/>
          <w:sz w:val="18"/>
          <w:szCs w:val="18"/>
        </w:rPr>
      </w:pPr>
      <w:r>
        <w:rPr>
          <w:rFonts w:cs="Arial" w:ascii="Arial" w:hAnsi="Arial"/>
          <w:b/>
          <w:bCs/>
          <w:sz w:val="18"/>
          <w:szCs w:val="18"/>
        </w:rPr>
        <w:t>10.2.1.</w:t>
      </w:r>
      <w:r>
        <w:rPr>
          <w:rFonts w:cs="Arial" w:ascii="Arial" w:hAnsi="Arial"/>
          <w:sz w:val="18"/>
          <w:szCs w:val="18"/>
        </w:rPr>
        <w:t xml:space="preserve"> O pagamento será realizado mediante depósito ou transferência bancária para a conta indicada pela contratada.</w:t>
      </w:r>
    </w:p>
    <w:p>
      <w:pPr>
        <w:pStyle w:val="Normal"/>
        <w:spacing w:lineRule="auto" w:line="312"/>
        <w:jc w:val="both"/>
        <w:rPr>
          <w:rFonts w:ascii="Arial" w:hAnsi="Arial" w:cs="Arial"/>
          <w:sz w:val="18"/>
          <w:szCs w:val="18"/>
        </w:rPr>
      </w:pPr>
      <w:r>
        <w:rPr>
          <w:rFonts w:cs="Arial" w:ascii="Arial" w:hAnsi="Arial"/>
          <w:b/>
          <w:bCs/>
          <w:sz w:val="18"/>
          <w:szCs w:val="18"/>
        </w:rPr>
        <w:t>10.2.2.</w:t>
      </w:r>
      <w:r>
        <w:rPr>
          <w:rFonts w:cs="Arial" w:ascii="Arial" w:hAnsi="Arial"/>
          <w:sz w:val="18"/>
          <w:szCs w:val="18"/>
        </w:rPr>
        <w:t xml:space="preserve"> Será considerada como data do pagamento aquela em que for emitida a respectiva ordem bancária.</w:t>
      </w:r>
    </w:p>
    <w:p>
      <w:pPr>
        <w:pStyle w:val="Normal"/>
        <w:spacing w:lineRule="auto" w:line="312"/>
        <w:jc w:val="both"/>
        <w:rPr>
          <w:rFonts w:ascii="Arial" w:hAnsi="Arial" w:cs="Arial"/>
          <w:sz w:val="18"/>
          <w:szCs w:val="18"/>
        </w:rPr>
      </w:pPr>
      <w:r>
        <w:rPr>
          <w:rFonts w:cs="Arial" w:ascii="Arial" w:hAnsi="Arial"/>
          <w:sz w:val="18"/>
          <w:szCs w:val="18"/>
        </w:rPr>
        <w:t>10.3 - PRAZO DE PAGAMENTO</w:t>
      </w:r>
    </w:p>
    <w:p>
      <w:pPr>
        <w:pStyle w:val="Normal"/>
        <w:spacing w:lineRule="auto" w:line="312"/>
        <w:ind w:left="567"/>
        <w:jc w:val="both"/>
        <w:rPr>
          <w:rFonts w:ascii="Arial" w:hAnsi="Arial" w:cs="Arial"/>
          <w:sz w:val="18"/>
          <w:szCs w:val="18"/>
        </w:rPr>
      </w:pPr>
      <w:r>
        <w:rPr>
          <w:rFonts w:cs="Arial" w:ascii="Arial" w:hAnsi="Arial"/>
          <w:b/>
          <w:bCs/>
          <w:sz w:val="18"/>
          <w:szCs w:val="18"/>
        </w:rPr>
        <w:t>10.3.1.</w:t>
      </w:r>
      <w:r>
        <w:rPr>
          <w:rFonts w:cs="Arial" w:ascii="Arial" w:hAnsi="Arial"/>
          <w:sz w:val="18"/>
          <w:szCs w:val="18"/>
        </w:rPr>
        <w:t xml:space="preserve"> O pagamento será efetuado em até </w:t>
      </w:r>
      <w:r>
        <w:rPr>
          <w:rFonts w:cs="Arial" w:ascii="Arial" w:hAnsi="Arial"/>
          <w:b/>
          <w:bCs/>
          <w:sz w:val="18"/>
          <w:szCs w:val="18"/>
        </w:rPr>
        <w:t>30 (trinta) dias</w:t>
      </w:r>
      <w:r>
        <w:rPr>
          <w:rFonts w:cs="Arial" w:ascii="Arial" w:hAnsi="Arial"/>
          <w:sz w:val="18"/>
          <w:szCs w:val="18"/>
        </w:rPr>
        <w:t>, contados da liquidação da despesa, após:</w:t>
      </w:r>
    </w:p>
    <w:p>
      <w:pPr>
        <w:pStyle w:val="Normal"/>
        <w:spacing w:lineRule="auto" w:line="312"/>
        <w:ind w:left="1416"/>
        <w:jc w:val="both"/>
        <w:rPr>
          <w:rFonts w:ascii="Arial" w:hAnsi="Arial" w:cs="Arial"/>
          <w:sz w:val="18"/>
          <w:szCs w:val="18"/>
        </w:rPr>
      </w:pPr>
      <w:r>
        <w:rPr>
          <w:rFonts w:cs="Arial" w:ascii="Arial" w:hAnsi="Arial"/>
          <w:sz w:val="18"/>
          <w:szCs w:val="18"/>
        </w:rPr>
        <w:t>I – conclusão da medição mensal;</w:t>
      </w:r>
    </w:p>
    <w:p>
      <w:pPr>
        <w:pStyle w:val="Normal"/>
        <w:spacing w:lineRule="auto" w:line="312"/>
        <w:ind w:left="1416"/>
        <w:jc w:val="both"/>
        <w:rPr>
          <w:rFonts w:ascii="Arial" w:hAnsi="Arial" w:cs="Arial"/>
          <w:sz w:val="18"/>
          <w:szCs w:val="18"/>
        </w:rPr>
      </w:pPr>
      <w:r>
        <w:rPr>
          <w:rFonts w:cs="Arial" w:ascii="Arial" w:hAnsi="Arial"/>
          <w:sz w:val="18"/>
          <w:szCs w:val="18"/>
        </w:rPr>
        <w:t>II – atesto da execução dos serviços pelo Fiscal do Contrato;</w:t>
      </w:r>
    </w:p>
    <w:p>
      <w:pPr>
        <w:pStyle w:val="Normal"/>
        <w:spacing w:lineRule="auto" w:line="312"/>
        <w:ind w:left="1416"/>
        <w:jc w:val="both"/>
        <w:rPr>
          <w:rFonts w:ascii="Arial" w:hAnsi="Arial" w:cs="Arial"/>
          <w:sz w:val="18"/>
          <w:szCs w:val="18"/>
        </w:rPr>
      </w:pPr>
      <w:r>
        <w:rPr>
          <w:rFonts w:cs="Arial" w:ascii="Arial" w:hAnsi="Arial"/>
          <w:sz w:val="18"/>
          <w:szCs w:val="18"/>
        </w:rPr>
        <w:t>III – apresentação da Nota Fiscal/Fatura;</w:t>
      </w:r>
    </w:p>
    <w:p>
      <w:pPr>
        <w:pStyle w:val="Normal"/>
        <w:spacing w:lineRule="auto" w:line="312"/>
        <w:ind w:left="1416"/>
        <w:jc w:val="both"/>
        <w:rPr>
          <w:rFonts w:ascii="Arial" w:hAnsi="Arial" w:cs="Arial"/>
          <w:sz w:val="18"/>
          <w:szCs w:val="18"/>
        </w:rPr>
      </w:pPr>
      <w:r>
        <w:rPr>
          <w:rFonts w:cs="Arial" w:ascii="Arial" w:hAnsi="Arial"/>
          <w:sz w:val="18"/>
          <w:szCs w:val="18"/>
        </w:rPr>
        <w:t>IV – verificação da regularidade fiscal da contratada.</w:t>
      </w:r>
    </w:p>
    <w:p>
      <w:pPr>
        <w:pStyle w:val="Normal"/>
        <w:spacing w:lineRule="auto" w:line="312"/>
        <w:ind w:left="851"/>
        <w:jc w:val="both"/>
        <w:rPr>
          <w:rFonts w:ascii="Arial" w:hAnsi="Arial" w:cs="Arial"/>
          <w:sz w:val="18"/>
          <w:szCs w:val="18"/>
        </w:rPr>
      </w:pPr>
      <w:r>
        <w:rPr>
          <w:rFonts w:cs="Arial" w:ascii="Arial" w:hAnsi="Arial"/>
          <w:b/>
          <w:bCs/>
          <w:sz w:val="18"/>
          <w:szCs w:val="18"/>
        </w:rPr>
        <w:t>10.3.2.</w:t>
      </w:r>
      <w:r>
        <w:rPr>
          <w:rFonts w:cs="Arial" w:ascii="Arial" w:hAnsi="Arial"/>
          <w:sz w:val="18"/>
          <w:szCs w:val="18"/>
        </w:rPr>
        <w:t xml:space="preserve"> Considera-se ocorrida a liquidação da despesa na data em que a Administração verificar o cumprimento de todas as condições previstas para o pagamento.</w:t>
      </w:r>
    </w:p>
    <w:p>
      <w:pPr>
        <w:pStyle w:val="Normal"/>
        <w:spacing w:lineRule="auto" w:line="312"/>
        <w:ind w:left="851"/>
        <w:jc w:val="both"/>
        <w:rPr>
          <w:rFonts w:ascii="Arial" w:hAnsi="Arial" w:cs="Arial"/>
          <w:sz w:val="18"/>
          <w:szCs w:val="18"/>
        </w:rPr>
      </w:pPr>
      <w:r>
        <w:rPr>
          <w:rFonts w:cs="Arial" w:ascii="Arial" w:hAnsi="Arial"/>
          <w:b/>
          <w:bCs/>
          <w:sz w:val="18"/>
          <w:szCs w:val="18"/>
        </w:rPr>
        <w:t>10.3.3.</w:t>
      </w:r>
      <w:r>
        <w:rPr>
          <w:rFonts w:cs="Arial" w:ascii="Arial" w:hAnsi="Arial"/>
          <w:sz w:val="18"/>
          <w:szCs w:val="18"/>
        </w:rPr>
        <w:t xml:space="preserve"> Havendo atraso imputável exclusivamente à Administração, os valores devidos serão atualizados monetariamente pelo IPCA/IBGE.</w:t>
      </w:r>
    </w:p>
    <w:p>
      <w:pPr>
        <w:pStyle w:val="Normal"/>
        <w:spacing w:lineRule="auto" w:line="312"/>
        <w:ind w:left="1134"/>
        <w:jc w:val="both"/>
        <w:rPr>
          <w:rFonts w:ascii="Arial" w:hAnsi="Arial" w:cs="Arial"/>
          <w:iCs/>
          <w:sz w:val="18"/>
          <w:szCs w:val="18"/>
        </w:rPr>
      </w:pPr>
      <w:r>
        <w:rPr>
          <w:rFonts w:cs="Arial" w:ascii="Arial" w:hAnsi="Arial"/>
          <w:sz w:val="18"/>
          <w:szCs w:val="18"/>
        </w:rPr>
        <w:t xml:space="preserve">10..3.1 - </w:t>
      </w:r>
      <w:r>
        <w:rPr>
          <w:rFonts w:cs="Arial" w:ascii="Arial" w:hAnsi="Arial"/>
          <w:iCs/>
          <w:sz w:val="18"/>
          <w:szCs w:val="18"/>
        </w:rPr>
        <w:t>A compensação financeira prevista nesta condição será incluída, a requerimento do interessado, na fatura do mês seguinte ao da ocorrência.</w:t>
      </w:r>
    </w:p>
    <w:p>
      <w:pPr>
        <w:pStyle w:val="Normal"/>
        <w:spacing w:lineRule="auto" w:line="312"/>
        <w:ind w:left="1134"/>
        <w:jc w:val="both"/>
        <w:rPr>
          <w:rFonts w:ascii="Arial" w:hAnsi="Arial" w:cs="Arial"/>
          <w:b/>
          <w:bCs/>
          <w:sz w:val="18"/>
          <w:szCs w:val="18"/>
        </w:rPr>
      </w:pPr>
      <w:r>
        <w:rPr>
          <w:rFonts w:cs="Arial" w:ascii="Arial" w:hAnsi="Arial"/>
          <w:b/>
          <w:bCs/>
          <w:sz w:val="18"/>
          <w:szCs w:val="18"/>
        </w:rPr>
        <w:t>10.4 – DA NOTA FISCAL</w:t>
      </w:r>
    </w:p>
    <w:p>
      <w:pPr>
        <w:pStyle w:val="Normal"/>
        <w:spacing w:lineRule="auto" w:line="312"/>
        <w:jc w:val="both"/>
        <w:rPr>
          <w:rFonts w:ascii="Arial" w:hAnsi="Arial" w:cs="Arial"/>
          <w:sz w:val="18"/>
          <w:szCs w:val="18"/>
        </w:rPr>
      </w:pPr>
      <w:r>
        <w:rPr>
          <w:rFonts w:cs="Arial" w:ascii="Arial" w:hAnsi="Arial"/>
          <w:sz w:val="18"/>
          <w:szCs w:val="18"/>
        </w:rPr>
        <w:t>10.4 - A NF - Nota Fiscal/Fatura deve conter todos os elementos exigidos em lei, tais como:</w:t>
      </w:r>
    </w:p>
    <w:p>
      <w:pPr>
        <w:pStyle w:val="Normal"/>
        <w:spacing w:lineRule="auto" w:line="312"/>
        <w:ind w:left="708"/>
        <w:jc w:val="both"/>
        <w:rPr>
          <w:rFonts w:ascii="Arial" w:hAnsi="Arial" w:cs="Arial"/>
          <w:sz w:val="18"/>
          <w:szCs w:val="18"/>
        </w:rPr>
      </w:pPr>
      <w:r>
        <w:rPr>
          <w:rFonts w:cs="Arial" w:ascii="Arial" w:hAnsi="Arial"/>
          <w:sz w:val="18"/>
          <w:szCs w:val="18"/>
        </w:rPr>
        <w:t>10.4.1 - Identificação completa da Contratada: CNPJ (o mesmo constante da documentação fiscal, exceto se for emitida por filial/matriz que contenha o mesmo CNPJ base, com sequencial específico da filial/matriz) da contratada, endereço, inscrição estadual ou municipal, etc.;</w:t>
      </w:r>
    </w:p>
    <w:p>
      <w:pPr>
        <w:pStyle w:val="Normal"/>
        <w:spacing w:lineRule="auto" w:line="312"/>
        <w:ind w:left="708"/>
        <w:jc w:val="both"/>
        <w:rPr>
          <w:rFonts w:ascii="Arial" w:hAnsi="Arial" w:cs="Arial"/>
          <w:sz w:val="18"/>
          <w:szCs w:val="18"/>
        </w:rPr>
      </w:pPr>
      <w:r>
        <w:rPr>
          <w:rFonts w:cs="Arial" w:ascii="Arial" w:hAnsi="Arial"/>
          <w:sz w:val="18"/>
          <w:szCs w:val="18"/>
        </w:rPr>
        <w:t>10.4.2 – Prazo de validade;</w:t>
      </w:r>
    </w:p>
    <w:p>
      <w:pPr>
        <w:pStyle w:val="Normal"/>
        <w:spacing w:lineRule="auto" w:line="312"/>
        <w:ind w:left="708"/>
        <w:jc w:val="both"/>
        <w:rPr>
          <w:rFonts w:ascii="Arial" w:hAnsi="Arial" w:cs="Arial"/>
          <w:sz w:val="18"/>
          <w:szCs w:val="18"/>
        </w:rPr>
      </w:pPr>
      <w:r>
        <w:rPr>
          <w:rFonts w:cs="Arial" w:ascii="Arial" w:hAnsi="Arial"/>
          <w:sz w:val="18"/>
          <w:szCs w:val="18"/>
        </w:rPr>
        <w:t>10.4.3 – Data da emissão;</w:t>
      </w:r>
    </w:p>
    <w:p>
      <w:pPr>
        <w:pStyle w:val="Normal"/>
        <w:spacing w:lineRule="auto" w:line="312"/>
        <w:ind w:left="708"/>
        <w:jc w:val="both"/>
        <w:rPr>
          <w:rFonts w:ascii="Arial" w:hAnsi="Arial" w:cs="Arial"/>
          <w:sz w:val="18"/>
          <w:szCs w:val="18"/>
        </w:rPr>
      </w:pPr>
      <w:r>
        <w:rPr>
          <w:rFonts w:cs="Arial" w:ascii="Arial" w:hAnsi="Arial"/>
          <w:sz w:val="18"/>
          <w:szCs w:val="18"/>
        </w:rPr>
        <w:t>10.4.4 – Dados do contrato e do órgão contratante;</w:t>
      </w:r>
    </w:p>
    <w:p>
      <w:pPr>
        <w:pStyle w:val="Normal"/>
        <w:spacing w:lineRule="auto" w:line="312"/>
        <w:ind w:left="708"/>
        <w:jc w:val="both"/>
        <w:rPr>
          <w:rFonts w:ascii="Arial" w:hAnsi="Arial" w:cs="Arial"/>
          <w:sz w:val="18"/>
          <w:szCs w:val="18"/>
        </w:rPr>
      </w:pPr>
      <w:r>
        <w:rPr>
          <w:rFonts w:cs="Arial" w:ascii="Arial" w:hAnsi="Arial"/>
          <w:sz w:val="18"/>
          <w:szCs w:val="18"/>
        </w:rPr>
        <w:t>10.4.5 - Descrição dos serviços de transporte escolar executados, indicando o período de referência da medição.;</w:t>
      </w:r>
    </w:p>
    <w:p>
      <w:pPr>
        <w:pStyle w:val="Normal"/>
        <w:spacing w:lineRule="auto" w:line="312"/>
        <w:ind w:left="708"/>
        <w:jc w:val="both"/>
        <w:rPr>
          <w:rFonts w:ascii="Arial" w:hAnsi="Arial" w:cs="Arial"/>
          <w:sz w:val="18"/>
          <w:szCs w:val="18"/>
        </w:rPr>
      </w:pPr>
      <w:r>
        <w:rPr>
          <w:rFonts w:cs="Arial" w:ascii="Arial" w:hAnsi="Arial"/>
          <w:sz w:val="18"/>
          <w:szCs w:val="18"/>
        </w:rPr>
        <w:t>10.4.6 - Valores unitários e totais e período com as informações referentes as linhas executadas, quilometragem considerada para pagamento, valores unitários e valor total da medição</w:t>
      </w:r>
    </w:p>
    <w:p>
      <w:pPr>
        <w:pStyle w:val="Normal"/>
        <w:spacing w:lineRule="auto" w:line="312"/>
        <w:ind w:left="708"/>
        <w:jc w:val="both"/>
        <w:rPr>
          <w:rFonts w:ascii="Arial" w:hAnsi="Arial" w:cs="Arial"/>
          <w:sz w:val="18"/>
          <w:szCs w:val="18"/>
        </w:rPr>
      </w:pPr>
      <w:r>
        <w:rPr>
          <w:rFonts w:cs="Arial" w:ascii="Arial" w:hAnsi="Arial"/>
          <w:sz w:val="18"/>
          <w:szCs w:val="18"/>
        </w:rPr>
        <w:t>10.4.7 - Número do processo que originou a contratação, bem como o número do empenho.</w:t>
      </w:r>
    </w:p>
    <w:p>
      <w:pPr>
        <w:pStyle w:val="Normal"/>
        <w:spacing w:lineRule="auto" w:line="312"/>
        <w:ind w:left="708"/>
        <w:jc w:val="both"/>
        <w:rPr>
          <w:rFonts w:ascii="Arial" w:hAnsi="Arial" w:cs="Arial"/>
          <w:sz w:val="18"/>
          <w:szCs w:val="18"/>
        </w:rPr>
      </w:pPr>
      <w:r>
        <w:rPr>
          <w:rFonts w:cs="Arial" w:ascii="Arial" w:hAnsi="Arial"/>
          <w:sz w:val="18"/>
          <w:szCs w:val="18"/>
        </w:rPr>
        <w:t>10.4.8 - Informações bancárias para pagamento.</w:t>
      </w:r>
    </w:p>
    <w:p>
      <w:pPr>
        <w:pStyle w:val="Normal"/>
        <w:spacing w:lineRule="auto" w:line="312"/>
        <w:ind w:left="708"/>
        <w:jc w:val="both"/>
        <w:rPr>
          <w:rFonts w:ascii="Arial" w:hAnsi="Arial" w:cs="Arial"/>
          <w:sz w:val="18"/>
          <w:szCs w:val="18"/>
        </w:rPr>
      </w:pPr>
      <w:r>
        <w:rPr>
          <w:rFonts w:cs="Arial" w:ascii="Arial" w:hAnsi="Arial"/>
          <w:sz w:val="18"/>
          <w:szCs w:val="18"/>
        </w:rPr>
        <w:t>10.4.9 - Eventual destaque do valor de retenções tributárias cabíveis.</w:t>
      </w:r>
    </w:p>
    <w:p>
      <w:pPr>
        <w:pStyle w:val="Normal"/>
        <w:tabs>
          <w:tab w:val="clear" w:pos="708"/>
          <w:tab w:val="left" w:pos="426" w:leader="none"/>
        </w:tabs>
        <w:spacing w:lineRule="auto" w:line="312"/>
        <w:jc w:val="both"/>
        <w:rPr>
          <w:rFonts w:ascii="Arial" w:hAnsi="Arial" w:cs="Arial"/>
          <w:iCs/>
          <w:sz w:val="18"/>
          <w:szCs w:val="18"/>
        </w:rPr>
      </w:pPr>
      <w:r>
        <w:rPr>
          <w:rFonts w:cs="Arial" w:ascii="Arial" w:hAnsi="Arial"/>
          <w:iCs/>
          <w:sz w:val="18"/>
          <w:szCs w:val="18"/>
        </w:rPr>
        <w:t xml:space="preserve">10.4 - Havendo erro </w:t>
      </w:r>
      <w:r>
        <w:rPr>
          <w:rFonts w:cs="Arial" w:ascii="Arial" w:hAnsi="Arial"/>
          <w:sz w:val="18"/>
          <w:szCs w:val="18"/>
        </w:rPr>
        <w:t>na</w:t>
      </w:r>
      <w:r>
        <w:rPr>
          <w:rFonts w:cs="Arial" w:ascii="Arial" w:hAnsi="Arial"/>
          <w:iCs/>
          <w:sz w:val="18"/>
          <w:szCs w:val="18"/>
        </w:rPr>
        <w:t xml:space="preserve"> apresentação da NF - Nota Fiscal/Fatura, ou circunstância que impeça a liquidação da </w:t>
      </w:r>
      <w:r>
        <w:rPr>
          <w:rFonts w:cs="Arial" w:ascii="Arial" w:hAnsi="Arial"/>
          <w:sz w:val="18"/>
          <w:szCs w:val="18"/>
        </w:rPr>
        <w:t>despesa</w:t>
      </w:r>
      <w:r>
        <w:rPr>
          <w:rFonts w:cs="Arial" w:ascii="Arial" w:hAnsi="Arial"/>
          <w:iCs/>
          <w:sz w:val="18"/>
          <w:szCs w:val="18"/>
        </w:rPr>
        <w:t>, o pagamento ficará sobrestado até que o contratado providencie as medidas saneadoras. Nessa hipótese, o prazo para pagamento iniciar-se-á após a comprovação da regularização da situação, não acarretando qualquer ônus para o contratante;</w:t>
      </w:r>
    </w:p>
    <w:p>
      <w:pPr>
        <w:pStyle w:val="Normal"/>
        <w:tabs>
          <w:tab w:val="clear" w:pos="708"/>
          <w:tab w:val="left" w:pos="426" w:leader="none"/>
        </w:tabs>
        <w:spacing w:lineRule="auto" w:line="312"/>
        <w:jc w:val="both"/>
        <w:rPr>
          <w:rFonts w:ascii="Arial" w:hAnsi="Arial" w:cs="Arial"/>
          <w:iCs/>
          <w:sz w:val="18"/>
          <w:szCs w:val="18"/>
        </w:rPr>
      </w:pPr>
      <w:r>
        <w:rPr>
          <w:rFonts w:cs="Arial" w:ascii="Arial" w:hAnsi="Arial"/>
          <w:iCs/>
          <w:sz w:val="18"/>
          <w:szCs w:val="18"/>
        </w:rPr>
        <w:t>10.5 - O pagamento ficará condicionado à apresentação da Nota Fiscal/Fatura devidamente atestada pelo Fiscal do Contrato, acompanhada do Relatório de Medição Mensal e dos documentos exigidos neste Termo de Referência.</w:t>
      </w:r>
    </w:p>
    <w:p>
      <w:pPr>
        <w:pStyle w:val="Normal"/>
        <w:tabs>
          <w:tab w:val="clear" w:pos="708"/>
          <w:tab w:val="left" w:pos="426" w:leader="none"/>
        </w:tabs>
        <w:spacing w:lineRule="auto" w:line="312"/>
        <w:jc w:val="both"/>
        <w:rPr>
          <w:rFonts w:ascii="Arial" w:hAnsi="Arial" w:cs="Arial"/>
          <w:iCs/>
          <w:sz w:val="18"/>
          <w:szCs w:val="18"/>
        </w:rPr>
      </w:pPr>
      <w:r>
        <w:rPr>
          <w:rFonts w:cs="Arial" w:ascii="Arial" w:hAnsi="Arial"/>
          <w:iCs/>
          <w:sz w:val="18"/>
          <w:szCs w:val="18"/>
        </w:rPr>
        <w:t>10.6 - Para fins de pagamento, a contratada deverá manter válidas todas as certidões de regularidade fiscal, trabalhista e econômico-financeira exigidas para a contratação, podendo a Administração realizar a verificação por meio dos sítios eletrônicos oficiais ou exigir sua apresentação quando necessário.</w:t>
      </w:r>
    </w:p>
    <w:p>
      <w:pPr>
        <w:pStyle w:val="Normal"/>
        <w:tabs>
          <w:tab w:val="clear" w:pos="708"/>
          <w:tab w:val="left" w:pos="426" w:leader="none"/>
        </w:tabs>
        <w:spacing w:lineRule="auto" w:line="312"/>
        <w:jc w:val="both"/>
        <w:rPr>
          <w:rFonts w:ascii="Arial" w:hAnsi="Arial" w:cs="Arial"/>
          <w:iCs/>
          <w:sz w:val="18"/>
          <w:szCs w:val="18"/>
        </w:rPr>
      </w:pPr>
      <w:r>
        <w:rPr>
          <w:rFonts w:cs="Arial" w:ascii="Arial" w:hAnsi="Arial"/>
          <w:iCs/>
          <w:sz w:val="18"/>
          <w:szCs w:val="18"/>
        </w:rPr>
        <w:t>10.7 - O atraso superior a 60 (sessenta) dias dos pagamentos devidos pela Administrações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pPr>
        <w:pStyle w:val="Normal"/>
        <w:tabs>
          <w:tab w:val="clear" w:pos="708"/>
          <w:tab w:val="left" w:pos="426" w:leader="none"/>
        </w:tabs>
        <w:spacing w:lineRule="auto" w:line="312"/>
        <w:jc w:val="both"/>
        <w:rPr>
          <w:rFonts w:ascii="Arial" w:hAnsi="Arial" w:cs="Arial"/>
          <w:sz w:val="18"/>
          <w:szCs w:val="18"/>
          <w:highlight w:val="white"/>
        </w:rPr>
      </w:pPr>
      <w:r>
        <w:rPr>
          <w:rFonts w:cs="Arial" w:ascii="Arial" w:hAnsi="Arial"/>
          <w:iCs/>
          <w:sz w:val="18"/>
          <w:szCs w:val="18"/>
        </w:rPr>
        <w:t>10.8</w:t>
      </w:r>
      <w:r>
        <w:rPr>
          <w:rFonts w:cs="Arial" w:ascii="Arial" w:hAnsi="Arial"/>
          <w:iCs/>
          <w:sz w:val="18"/>
          <w:szCs w:val="18"/>
          <w:highlight w:val="white"/>
        </w:rPr>
        <w:t xml:space="preserve"> - </w:t>
      </w:r>
      <w:r>
        <w:rPr>
          <w:rFonts w:cs="Arial" w:ascii="Arial" w:hAnsi="Arial"/>
          <w:sz w:val="18"/>
          <w:szCs w:val="18"/>
          <w:highlight w:val="white"/>
        </w:rPr>
        <w:t>O contratado regularmente optante pelo Simples Nacional, nos termos da Lei Complementar nº 123, de 2006, não</w:t>
      </w:r>
    </w:p>
    <w:p>
      <w:pPr>
        <w:pStyle w:val="Normal"/>
        <w:tabs>
          <w:tab w:val="clear" w:pos="708"/>
          <w:tab w:val="left" w:pos="426" w:leader="none"/>
        </w:tabs>
        <w:spacing w:lineRule="auto" w:line="312"/>
        <w:jc w:val="both"/>
        <w:rPr>
          <w:rFonts w:ascii="Arial" w:hAnsi="Arial" w:cs="Arial"/>
          <w:iCs/>
          <w:sz w:val="18"/>
          <w:szCs w:val="18"/>
          <w:highlight w:val="white"/>
        </w:rPr>
      </w:pPr>
      <w:r>
        <w:rPr>
          <w:rFonts w:cs="Arial" w:ascii="Arial" w:hAnsi="Arial"/>
          <w:sz w:val="18"/>
          <w:szCs w:val="18"/>
          <w:highlight w:val="white"/>
        </w:rPr>
        <w:t>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cs="Arial" w:ascii="Arial" w:hAnsi="Arial"/>
          <w:iCs/>
          <w:sz w:val="18"/>
          <w:szCs w:val="18"/>
          <w:highlight w:val="white"/>
        </w:rPr>
        <w:t>.</w:t>
      </w:r>
    </w:p>
    <w:p>
      <w:pPr>
        <w:pStyle w:val="Normal"/>
        <w:tabs>
          <w:tab w:val="clear" w:pos="708"/>
          <w:tab w:val="left" w:pos="426" w:leader="none"/>
        </w:tabs>
        <w:spacing w:lineRule="auto" w:line="312"/>
        <w:jc w:val="both"/>
        <w:rPr>
          <w:rFonts w:ascii="Arial" w:hAnsi="Arial" w:cs="Arial"/>
          <w:b/>
          <w:bCs/>
          <w:iCs/>
          <w:sz w:val="18"/>
          <w:szCs w:val="18"/>
          <w:highlight w:val="white"/>
        </w:rPr>
      </w:pPr>
      <w:r>
        <w:rPr>
          <w:rFonts w:cs="Arial" w:ascii="Arial" w:hAnsi="Arial"/>
          <w:b/>
          <w:bCs/>
          <w:iCs/>
          <w:sz w:val="18"/>
          <w:szCs w:val="18"/>
          <w:highlight w:val="white"/>
        </w:rPr>
        <w:t xml:space="preserve">10.9 </w:t>
      </w:r>
      <w:r>
        <w:rPr>
          <w:rFonts w:cs="Arial" w:ascii="Arial" w:hAnsi="Arial"/>
          <w:iCs/>
          <w:sz w:val="18"/>
          <w:szCs w:val="18"/>
          <w:highlight w:val="white"/>
        </w:rPr>
        <w:t>A Administração poderá realizar glosa parcial dos valores medidos quando constatada execução incompleta, inadequada ou irregular dos serviços, sem prejuízo da aplicação das penalidades cabíveis.</w:t>
      </w:r>
    </w:p>
    <w:p>
      <w:pPr>
        <w:pStyle w:val="Normal"/>
        <w:tabs>
          <w:tab w:val="clear" w:pos="708"/>
          <w:tab w:val="left" w:pos="426" w:leader="none"/>
        </w:tabs>
        <w:spacing w:lineRule="auto" w:line="312"/>
        <w:jc w:val="both"/>
        <w:rPr>
          <w:rFonts w:ascii="Arial" w:hAnsi="Arial" w:cs="Arial"/>
          <w:b/>
          <w:bCs/>
          <w:iCs/>
          <w:sz w:val="18"/>
          <w:szCs w:val="18"/>
          <w:highlight w:val="white"/>
        </w:rPr>
      </w:pPr>
      <w:r>
        <w:rPr>
          <w:rFonts w:cs="Arial" w:ascii="Arial" w:hAnsi="Arial"/>
          <w:b/>
          <w:bCs/>
          <w:iCs/>
          <w:sz w:val="18"/>
          <w:szCs w:val="18"/>
          <w:highlight w:val="white"/>
        </w:rPr>
        <w:t xml:space="preserve">10.10 </w:t>
      </w:r>
      <w:r>
        <w:rPr>
          <w:rFonts w:cs="Arial" w:ascii="Arial" w:hAnsi="Arial"/>
          <w:iCs/>
          <w:sz w:val="18"/>
          <w:szCs w:val="18"/>
          <w:highlight w:val="white"/>
        </w:rPr>
        <w:t>Não serão considerados para pagamento os serviços:</w:t>
      </w:r>
    </w:p>
    <w:p>
      <w:pPr>
        <w:pStyle w:val="Normal"/>
        <w:tabs>
          <w:tab w:val="clear" w:pos="708"/>
          <w:tab w:val="left" w:pos="426" w:leader="none"/>
        </w:tabs>
        <w:spacing w:lineRule="auto" w:line="312"/>
        <w:jc w:val="both"/>
        <w:rPr>
          <w:rFonts w:ascii="Arial" w:hAnsi="Arial" w:cs="Arial"/>
          <w:iCs/>
          <w:sz w:val="18"/>
          <w:szCs w:val="18"/>
          <w:highlight w:val="white"/>
        </w:rPr>
      </w:pPr>
      <w:r>
        <w:rPr>
          <w:rFonts w:cs="Arial" w:ascii="Arial" w:hAnsi="Arial"/>
          <w:iCs/>
          <w:sz w:val="18"/>
          <w:szCs w:val="18"/>
          <w:highlight w:val="white"/>
        </w:rPr>
        <w:t>I – não executados;</w:t>
      </w:r>
    </w:p>
    <w:p>
      <w:pPr>
        <w:pStyle w:val="Normal"/>
        <w:tabs>
          <w:tab w:val="clear" w:pos="708"/>
          <w:tab w:val="left" w:pos="426" w:leader="none"/>
        </w:tabs>
        <w:spacing w:lineRule="auto" w:line="312"/>
        <w:jc w:val="both"/>
        <w:rPr>
          <w:rFonts w:ascii="Arial" w:hAnsi="Arial" w:cs="Arial"/>
          <w:iCs/>
          <w:sz w:val="18"/>
          <w:szCs w:val="18"/>
          <w:highlight w:val="white"/>
        </w:rPr>
      </w:pPr>
      <w:r>
        <w:rPr>
          <w:rFonts w:cs="Arial" w:ascii="Arial" w:hAnsi="Arial"/>
          <w:iCs/>
          <w:sz w:val="18"/>
          <w:szCs w:val="18"/>
          <w:highlight w:val="white"/>
        </w:rPr>
        <w:t>II – executados em desacordo com os itinerários autorizados;</w:t>
      </w:r>
    </w:p>
    <w:p>
      <w:pPr>
        <w:pStyle w:val="Normal"/>
        <w:tabs>
          <w:tab w:val="clear" w:pos="708"/>
          <w:tab w:val="left" w:pos="426" w:leader="none"/>
        </w:tabs>
        <w:spacing w:lineRule="auto" w:line="312"/>
        <w:jc w:val="both"/>
        <w:rPr>
          <w:rFonts w:ascii="Arial" w:hAnsi="Arial" w:cs="Arial"/>
          <w:iCs/>
          <w:sz w:val="18"/>
          <w:szCs w:val="18"/>
          <w:highlight w:val="white"/>
        </w:rPr>
      </w:pPr>
      <w:r>
        <w:rPr>
          <w:rFonts w:cs="Arial" w:ascii="Arial" w:hAnsi="Arial"/>
          <w:iCs/>
          <w:sz w:val="18"/>
          <w:szCs w:val="18"/>
          <w:highlight w:val="white"/>
        </w:rPr>
        <w:t>III – realizados com veículos ou motoristas não autorizados pela Administração;</w:t>
      </w:r>
    </w:p>
    <w:p>
      <w:pPr>
        <w:pStyle w:val="Normal"/>
        <w:tabs>
          <w:tab w:val="clear" w:pos="708"/>
          <w:tab w:val="left" w:pos="426" w:leader="none"/>
        </w:tabs>
        <w:spacing w:lineRule="auto" w:line="312"/>
        <w:jc w:val="both"/>
        <w:rPr>
          <w:rFonts w:ascii="Arial" w:hAnsi="Arial" w:cs="Arial"/>
          <w:iCs/>
          <w:sz w:val="18"/>
          <w:szCs w:val="18"/>
          <w:highlight w:val="white"/>
        </w:rPr>
      </w:pPr>
      <w:r>
        <w:rPr>
          <w:rFonts w:cs="Arial" w:ascii="Arial" w:hAnsi="Arial"/>
          <w:iCs/>
          <w:sz w:val="18"/>
          <w:szCs w:val="18"/>
          <w:highlight w:val="white"/>
        </w:rPr>
        <w:t>IV – executados em desconformidade com as normas deste Termo de Referência.</w:t>
      </w:r>
    </w:p>
    <w:p>
      <w:pPr>
        <w:pStyle w:val="Normal"/>
        <w:tabs>
          <w:tab w:val="clear" w:pos="708"/>
          <w:tab w:val="left" w:pos="426" w:leader="none"/>
        </w:tabs>
        <w:spacing w:lineRule="auto" w:line="312"/>
        <w:jc w:val="both"/>
        <w:rPr>
          <w:rFonts w:ascii="Arial" w:hAnsi="Arial" w:cs="Arial"/>
          <w:b/>
          <w:bCs/>
          <w:iCs/>
          <w:sz w:val="18"/>
          <w:szCs w:val="18"/>
        </w:rPr>
      </w:pPr>
      <w:r>
        <w:rPr>
          <w:rFonts w:cs="Arial" w:ascii="Arial" w:hAnsi="Arial"/>
          <w:b/>
          <w:bCs/>
          <w:iCs/>
          <w:sz w:val="18"/>
          <w:szCs w:val="18"/>
          <w:highlight w:val="white"/>
        </w:rPr>
        <w:t xml:space="preserve">10.11 </w:t>
      </w:r>
      <w:r>
        <w:rPr>
          <w:rFonts w:cs="Arial" w:ascii="Arial" w:hAnsi="Arial"/>
          <w:iCs/>
          <w:sz w:val="18"/>
          <w:szCs w:val="18"/>
          <w:highlight w:val="white"/>
        </w:rPr>
        <w:t>Os descontos decorrentes de glosas, multas ou indenizações poderão ser compensados diretamente dos pagamentos devidos à contratada, assegurado o contraditório e a ampla defesa.</w:t>
      </w:r>
    </w:p>
    <w:p>
      <w:pPr>
        <w:pStyle w:val="Normal"/>
        <w:tabs>
          <w:tab w:val="clear" w:pos="708"/>
          <w:tab w:val="left" w:pos="426" w:leader="none"/>
        </w:tabs>
        <w:spacing w:lineRule="auto" w:line="312"/>
        <w:jc w:val="both"/>
        <w:rPr>
          <w:rFonts w:ascii="Arial" w:hAnsi="Arial" w:cs="Arial"/>
          <w:b/>
          <w:bCs/>
          <w:iCs/>
          <w:sz w:val="18"/>
          <w:szCs w:val="18"/>
          <w:highlight w:val="white"/>
        </w:rPr>
      </w:pPr>
      <w:r>
        <w:rPr>
          <w:rFonts w:cs="Arial" w:ascii="Arial" w:hAnsi="Arial"/>
          <w:b/>
          <w:bCs/>
          <w:iCs/>
          <w:sz w:val="18"/>
          <w:szCs w:val="18"/>
        </w:rPr>
        <w:t>10.12</w:t>
      </w:r>
      <w:r>
        <w:rPr>
          <w:rFonts w:cs="Arial" w:ascii="Arial" w:hAnsi="Arial"/>
          <w:iCs/>
          <w:sz w:val="18"/>
          <w:szCs w:val="18"/>
        </w:rPr>
        <w:t xml:space="preserve"> Dados para emissão da Nota Fiscal:</w:t>
      </w:r>
    </w:p>
    <w:p>
      <w:pPr>
        <w:pStyle w:val="Normal"/>
        <w:widowControl w:val="false"/>
        <w:jc w:val="both"/>
        <w:rPr>
          <w:rFonts w:ascii="Arial" w:hAnsi="Arial" w:cs="Arial"/>
          <w:bCs/>
          <w:i/>
          <w:sz w:val="18"/>
          <w:szCs w:val="18"/>
        </w:rPr>
      </w:pPr>
      <w:r>
        <w:rPr>
          <w:rFonts w:cs="Arial" w:ascii="Arial" w:hAnsi="Arial"/>
          <w:i/>
          <w:iCs/>
          <w:color w:themeColor="text1" w:val="000000"/>
          <w:sz w:val="18"/>
          <w:szCs w:val="18"/>
        </w:rPr>
        <w:t>PREFEITURA MUNICIPAL DE SANTA BÁRBARA DO SUL/RS</w:t>
      </w:r>
    </w:p>
    <w:p>
      <w:pPr>
        <w:pStyle w:val="Normal"/>
        <w:widowControl w:val="false"/>
        <w:jc w:val="both"/>
        <w:rPr>
          <w:rFonts w:ascii="Arial" w:hAnsi="Arial" w:cs="Arial"/>
          <w:bCs/>
          <w:i/>
          <w:sz w:val="18"/>
          <w:szCs w:val="18"/>
        </w:rPr>
      </w:pPr>
      <w:r>
        <w:rPr>
          <w:rFonts w:cs="Arial" w:ascii="Arial" w:hAnsi="Arial"/>
          <w:i/>
          <w:iCs/>
          <w:color w:themeColor="text1" w:val="000000"/>
          <w:sz w:val="18"/>
          <w:szCs w:val="18"/>
        </w:rPr>
        <w:t>CNPJ nº: 88.496.468/0001-60</w:t>
      </w:r>
    </w:p>
    <w:p>
      <w:pPr>
        <w:pStyle w:val="Normal"/>
        <w:widowControl w:val="false"/>
        <w:jc w:val="both"/>
        <w:rPr>
          <w:rFonts w:ascii="Arial" w:hAnsi="Arial" w:cs="Arial"/>
          <w:bCs/>
          <w:i/>
          <w:sz w:val="18"/>
          <w:szCs w:val="18"/>
        </w:rPr>
      </w:pPr>
      <w:r>
        <w:rPr>
          <w:rFonts w:cs="Arial" w:ascii="Arial" w:hAnsi="Arial"/>
          <w:i/>
          <w:iCs/>
          <w:color w:themeColor="text1" w:val="000000"/>
          <w:sz w:val="18"/>
          <w:szCs w:val="18"/>
        </w:rPr>
        <w:t>ENDEREÇO: Avenida Eduardo de Brito, nº 101, Bairro Cerutti.</w:t>
      </w:r>
    </w:p>
    <w:p>
      <w:pPr>
        <w:pStyle w:val="Normal"/>
        <w:widowControl w:val="false"/>
        <w:jc w:val="both"/>
        <w:rPr>
          <w:rFonts w:ascii="Arial" w:hAnsi="Arial" w:cs="Arial"/>
          <w:i/>
          <w:iCs/>
          <w:color w:themeColor="text1" w:val="000000"/>
          <w:sz w:val="18"/>
          <w:szCs w:val="18"/>
        </w:rPr>
      </w:pPr>
      <w:r>
        <w:rPr>
          <w:rFonts w:cs="Arial" w:ascii="Arial" w:hAnsi="Arial"/>
          <w:i/>
          <w:iCs/>
          <w:color w:themeColor="text1" w:val="000000"/>
          <w:sz w:val="18"/>
          <w:szCs w:val="18"/>
        </w:rPr>
        <w:t>CEP: 98.240-000</w:t>
      </w:r>
    </w:p>
    <w:p>
      <w:pPr>
        <w:pStyle w:val="Normal"/>
        <w:widowControl w:val="false"/>
        <w:jc w:val="both"/>
        <w:rPr>
          <w:rFonts w:ascii="Arial" w:hAnsi="Arial" w:cs="Arial"/>
          <w:i/>
          <w:iCs/>
          <w:color w:themeColor="text1" w:val="000000"/>
          <w:sz w:val="18"/>
          <w:szCs w:val="18"/>
        </w:rPr>
      </w:pPr>
      <w:r>
        <w:rPr>
          <w:rFonts w:cs="Arial" w:ascii="Arial" w:hAnsi="Arial"/>
          <w:i/>
          <w:iCs/>
          <w:color w:themeColor="text1" w:val="000000"/>
          <w:sz w:val="18"/>
          <w:szCs w:val="18"/>
        </w:rPr>
      </w:r>
    </w:p>
    <w:p>
      <w:pPr>
        <w:pStyle w:val="Normal"/>
        <w:widowControl w:val="false"/>
        <w:jc w:val="both"/>
        <w:rPr>
          <w:rFonts w:ascii="Arial" w:hAnsi="Arial" w:cs="Arial"/>
          <w:i/>
          <w:iCs/>
          <w:color w:themeColor="text1" w:val="000000"/>
          <w:sz w:val="18"/>
          <w:szCs w:val="18"/>
        </w:rPr>
      </w:pPr>
      <w:r>
        <w:rPr>
          <w:rFonts w:cs="Arial" w:ascii="Arial" w:hAnsi="Arial"/>
          <w:i/>
          <w:iCs/>
          <w:color w:themeColor="text1" w:val="000000"/>
          <w:sz w:val="18"/>
          <w:szCs w:val="18"/>
        </w:rPr>
      </w:r>
    </w:p>
    <w:p>
      <w:pPr>
        <w:pStyle w:val="Nivel01"/>
        <w:numPr>
          <w:ilvl w:val="0"/>
          <w:numId w:val="0"/>
        </w:numPr>
        <w:spacing w:before="0" w:after="0"/>
        <w:ind w:hanging="0" w:left="0"/>
        <w:rPr>
          <w:color w:val="000000"/>
          <w:sz w:val="18"/>
          <w:szCs w:val="18"/>
        </w:rPr>
      </w:pPr>
      <w:r>
        <w:rPr>
          <w:color w:val="000000"/>
          <w:sz w:val="18"/>
          <w:szCs w:val="18"/>
        </w:rPr>
        <w:t>11 - REAJUSTE (art. 92, inciso V, da Lei nº 14.133/2021).</w:t>
      </w:r>
    </w:p>
    <w:p>
      <w:pPr>
        <w:pStyle w:val="Nivel2"/>
        <w:numPr>
          <w:ilvl w:val="0"/>
          <w:numId w:val="0"/>
        </w:numPr>
        <w:spacing w:lineRule="auto" w:line="312" w:before="0" w:after="0"/>
        <w:ind w:hanging="0" w:left="0"/>
        <w:rPr>
          <w:color w:val="auto"/>
          <w:sz w:val="18"/>
          <w:szCs w:val="18"/>
        </w:rPr>
      </w:pPr>
      <w:r>
        <w:rPr>
          <w:color w:val="auto"/>
          <w:sz w:val="18"/>
          <w:szCs w:val="18"/>
        </w:rPr>
        <w:t>11.1 - Os preços inicialmente contratados permanecerão fixos e irreajustáveis pelo período de 12 (doze) meses, contado da data do orçamento estimado pela Administração, nos termos do art. 25, § 7º, da Lei Federal nº 14.133/2021.</w:t>
      </w:r>
    </w:p>
    <w:p>
      <w:pPr>
        <w:pStyle w:val="Nivel2"/>
        <w:numPr>
          <w:ilvl w:val="0"/>
          <w:numId w:val="0"/>
        </w:numPr>
        <w:spacing w:lineRule="auto" w:line="312" w:before="0" w:after="0"/>
        <w:ind w:hanging="0" w:left="0"/>
        <w:rPr>
          <w:color w:val="auto"/>
          <w:sz w:val="18"/>
          <w:szCs w:val="18"/>
        </w:rPr>
      </w:pPr>
      <w:r>
        <w:rPr>
          <w:color w:val="auto"/>
          <w:sz w:val="18"/>
          <w:szCs w:val="18"/>
        </w:rPr>
        <w:t>11.2 - Após o interregno de 01 (um) ano, e independentemente de pedido do contratado, os preços iniciais serão reajustados, mediante a aplicação, pelo contratante, do Índice Nacional de Preços ao Consumidor Amplo - IPCA/IBGE</w:t>
      </w:r>
      <w:r>
        <w:rPr>
          <w:i/>
          <w:iCs/>
          <w:color w:val="auto"/>
          <w:sz w:val="18"/>
          <w:szCs w:val="18"/>
        </w:rPr>
        <w:t>,</w:t>
      </w:r>
      <w:r>
        <w:rPr>
          <w:color w:val="auto"/>
          <w:sz w:val="18"/>
          <w:szCs w:val="18"/>
        </w:rPr>
        <w:t xml:space="preserve"> exclusivamente para as obrigações iniciadas e concluídas após a ocorrência da anualidade.</w:t>
      </w:r>
    </w:p>
    <w:p>
      <w:pPr>
        <w:pStyle w:val="Nivel2"/>
        <w:numPr>
          <w:ilvl w:val="0"/>
          <w:numId w:val="0"/>
        </w:numPr>
        <w:spacing w:lineRule="auto" w:line="312" w:before="0" w:after="0"/>
        <w:ind w:hanging="0" w:left="0"/>
        <w:rPr>
          <w:color w:val="auto"/>
          <w:sz w:val="18"/>
          <w:szCs w:val="18"/>
        </w:rPr>
      </w:pPr>
      <w:r>
        <w:rPr>
          <w:color w:val="auto"/>
          <w:sz w:val="18"/>
          <w:szCs w:val="18"/>
        </w:rPr>
        <w:t>11.3 - Nos reajustes subsequentes ao primeiro, o interregno mínimo de 01 (um) ano será contado a partir dos efeitos financeiros do último reajuste.</w:t>
      </w:r>
    </w:p>
    <w:p>
      <w:pPr>
        <w:pStyle w:val="Nivel2"/>
        <w:numPr>
          <w:ilvl w:val="0"/>
          <w:numId w:val="0"/>
        </w:numPr>
        <w:spacing w:lineRule="auto" w:line="312" w:before="0" w:after="0"/>
        <w:ind w:hanging="0" w:left="0"/>
        <w:rPr>
          <w:color w:val="auto"/>
          <w:sz w:val="18"/>
          <w:szCs w:val="18"/>
        </w:rPr>
      </w:pPr>
      <w:r>
        <w:rPr>
          <w:color w:val="auto"/>
          <w:sz w:val="18"/>
          <w:szCs w:val="18"/>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pPr>
        <w:pStyle w:val="Nivel2"/>
        <w:numPr>
          <w:ilvl w:val="0"/>
          <w:numId w:val="0"/>
        </w:numPr>
        <w:spacing w:lineRule="auto" w:line="312" w:before="0" w:after="0"/>
        <w:ind w:hanging="0" w:left="0"/>
        <w:rPr>
          <w:color w:val="auto"/>
          <w:sz w:val="18"/>
          <w:szCs w:val="18"/>
        </w:rPr>
      </w:pPr>
      <w:r>
        <w:rPr>
          <w:color w:val="auto"/>
          <w:sz w:val="18"/>
          <w:szCs w:val="18"/>
        </w:rPr>
        <w:t>11.5 - Nas aferições finais, o(s) índice(s) utilizado(s) para reajuste será(ão), obrigatoriamente, o(s) definitivo(s).</w:t>
      </w:r>
    </w:p>
    <w:p>
      <w:pPr>
        <w:pStyle w:val="Nivel2"/>
        <w:numPr>
          <w:ilvl w:val="0"/>
          <w:numId w:val="0"/>
        </w:numPr>
        <w:spacing w:lineRule="auto" w:line="312" w:before="0" w:after="0"/>
        <w:ind w:hanging="0" w:left="0"/>
        <w:rPr>
          <w:color w:val="auto"/>
          <w:sz w:val="18"/>
          <w:szCs w:val="18"/>
        </w:rPr>
      </w:pPr>
      <w:r>
        <w:rPr>
          <w:color w:val="auto"/>
          <w:sz w:val="18"/>
          <w:szCs w:val="18"/>
        </w:rPr>
        <w:t>11.6 - Caso o(s) índice(s) estabelecido(s) para reajustamento venha(m) a ser extinto(s) ou de qualquer forma não possa(m) mais ser utilizado(s), será(ão) adotado(s), em substituição, o(s) que vier(em) a ser determinado(s) pela legislação então em vigor.</w:t>
      </w:r>
    </w:p>
    <w:p>
      <w:pPr>
        <w:pStyle w:val="Nivel2"/>
        <w:numPr>
          <w:ilvl w:val="0"/>
          <w:numId w:val="0"/>
        </w:numPr>
        <w:spacing w:lineRule="auto" w:line="312" w:before="0" w:after="0"/>
        <w:ind w:hanging="0" w:left="0"/>
        <w:rPr>
          <w:color w:val="auto"/>
          <w:sz w:val="18"/>
          <w:szCs w:val="18"/>
        </w:rPr>
      </w:pPr>
      <w:r>
        <w:rPr>
          <w:color w:val="auto"/>
          <w:sz w:val="18"/>
          <w:szCs w:val="18"/>
        </w:rPr>
        <w:t xml:space="preserve">11.7 - Na impossibilidade de utilização do índice previsto neste instrumento e inexistindo índice substituto definido em lei, a Administração adotará outro índice oficial que melhor reflita a variação dos custos da contratação, mediante justificativa técnica e formalização por termo de apostilamento ou termo aditivo, conforme o caso. </w:t>
      </w:r>
    </w:p>
    <w:p>
      <w:pPr>
        <w:pStyle w:val="Nivel2"/>
        <w:numPr>
          <w:ilvl w:val="0"/>
          <w:numId w:val="0"/>
        </w:numPr>
        <w:spacing w:lineRule="auto" w:line="312" w:before="0" w:after="0"/>
        <w:ind w:hanging="0" w:left="0"/>
        <w:rPr>
          <w:color w:val="auto"/>
          <w:sz w:val="18"/>
          <w:szCs w:val="18"/>
        </w:rPr>
      </w:pPr>
      <w:r>
        <w:rPr>
          <w:color w:val="auto"/>
          <w:sz w:val="18"/>
          <w:szCs w:val="18"/>
        </w:rPr>
        <w:t>11.8 - O reajuste será formalizado por apostilamento, dispensada a celebração de termo aditivo, nos termos do art. 136 da Lei Federal nº 14.133/2021.</w:t>
      </w:r>
    </w:p>
    <w:p>
      <w:pPr>
        <w:pStyle w:val="Nivel2"/>
        <w:numPr>
          <w:ilvl w:val="0"/>
          <w:numId w:val="0"/>
        </w:numPr>
        <w:spacing w:lineRule="auto" w:line="312" w:before="0" w:after="0"/>
        <w:ind w:hanging="0" w:left="0"/>
        <w:rPr>
          <w:color w:val="auto"/>
          <w:sz w:val="18"/>
          <w:szCs w:val="18"/>
        </w:rPr>
      </w:pPr>
      <w:r>
        <w:rPr>
          <w:b/>
          <w:bCs/>
          <w:color w:val="auto"/>
          <w:sz w:val="18"/>
          <w:szCs w:val="18"/>
        </w:rPr>
        <w:t>11.9.</w:t>
      </w:r>
      <w:r>
        <w:rPr>
          <w:color w:val="auto"/>
          <w:sz w:val="18"/>
          <w:szCs w:val="18"/>
        </w:rPr>
        <w:t xml:space="preserve"> O reajuste não se confunde com a revisão ou com o restabelecimento do equilíbrio econômico-financeiro do contrato, os quais serão analisados nas hipóteses e condições previstas na Lei Federal nº 14.133/2021.</w:t>
      </w:r>
    </w:p>
    <w:p>
      <w:pPr>
        <w:pStyle w:val="Nivel2"/>
        <w:numPr>
          <w:ilvl w:val="0"/>
          <w:numId w:val="0"/>
        </w:numPr>
        <w:spacing w:lineRule="auto" w:line="312" w:before="0" w:after="0"/>
        <w:ind w:hanging="0" w:left="0"/>
        <w:rPr>
          <w:color w:val="auto"/>
          <w:sz w:val="18"/>
          <w:szCs w:val="18"/>
        </w:rPr>
      </w:pPr>
      <w:r>
        <w:rPr>
          <w:b/>
          <w:bCs/>
          <w:color w:val="auto"/>
          <w:sz w:val="18"/>
          <w:szCs w:val="18"/>
        </w:rPr>
        <w:t>11.10.</w:t>
      </w:r>
      <w:r>
        <w:rPr>
          <w:color w:val="auto"/>
          <w:sz w:val="18"/>
          <w:szCs w:val="18"/>
        </w:rPr>
        <w:t xml:space="preserve"> A concessão do reajuste não afasta a necessidade de manutenção, pela contratada, das condições de habilitação e das demais obrigações assumidas durante toda a execução contratual.</w:t>
      </w:r>
    </w:p>
    <w:p>
      <w:pPr>
        <w:pStyle w:val="Nivel01"/>
        <w:numPr>
          <w:ilvl w:val="0"/>
          <w:numId w:val="22"/>
        </w:numPr>
        <w:tabs>
          <w:tab w:val="left" w:pos="284" w:leader="none"/>
        </w:tabs>
        <w:spacing w:before="0" w:after="0"/>
        <w:rPr>
          <w:color w:val="000000"/>
          <w:sz w:val="18"/>
          <w:szCs w:val="18"/>
        </w:rPr>
      </w:pPr>
      <w:r>
        <w:rPr>
          <w:color w:val="000000"/>
          <w:sz w:val="18"/>
          <w:szCs w:val="18"/>
        </w:rPr>
        <w:t>- INFRAÇÕES E SANÇÕES ADMINISTRATIVAS (art. 92, inciso XIV, da Lei nº 14.133/2021).</w:t>
      </w:r>
    </w:p>
    <w:p>
      <w:pPr>
        <w:pStyle w:val="Nivel2"/>
        <w:numPr>
          <w:ilvl w:val="0"/>
          <w:numId w:val="0"/>
        </w:numPr>
        <w:spacing w:lineRule="auto" w:line="312" w:before="0" w:after="0"/>
        <w:ind w:hanging="0" w:left="0"/>
        <w:rPr>
          <w:b/>
          <w:bCs/>
          <w:sz w:val="18"/>
          <w:szCs w:val="18"/>
        </w:rPr>
      </w:pPr>
      <w:r>
        <w:rPr>
          <w:b/>
          <w:bCs/>
          <w:sz w:val="18"/>
          <w:szCs w:val="18"/>
        </w:rPr>
        <w:t xml:space="preserve">12.1 </w:t>
      </w:r>
      <w:r>
        <w:rPr>
          <w:sz w:val="18"/>
          <w:szCs w:val="18"/>
        </w:rPr>
        <w:t xml:space="preserve">A contratada responderá administrativamente pelas infrações praticadas durante a execução contratual, observadas as disposições da Lei Federal nº 14.133/2021, da </w:t>
      </w:r>
      <w:r>
        <w:rPr>
          <w:b/>
          <w:bCs/>
          <w:sz w:val="18"/>
          <w:szCs w:val="18"/>
        </w:rPr>
        <w:t>Portaria Municipal nº 293/2026</w:t>
      </w:r>
      <w:r>
        <w:rPr>
          <w:sz w:val="18"/>
          <w:szCs w:val="18"/>
        </w:rPr>
        <w:t>, deste Termo de Referência e do Contrato Administrativo.</w:t>
      </w:r>
    </w:p>
    <w:p>
      <w:pPr>
        <w:pStyle w:val="Nivel2"/>
        <w:numPr>
          <w:ilvl w:val="1"/>
          <w:numId w:val="21"/>
        </w:numPr>
        <w:spacing w:lineRule="auto" w:line="312" w:before="0" w:after="0"/>
        <w:rPr>
          <w:b/>
          <w:bCs/>
          <w:sz w:val="18"/>
          <w:szCs w:val="18"/>
        </w:rPr>
      </w:pPr>
      <w:r>
        <w:rPr>
          <w:sz w:val="18"/>
          <w:szCs w:val="18"/>
        </w:rPr>
        <w:t>Constituem, dentre outras, infrações relacionadas à execução do contrato:</w:t>
      </w:r>
    </w:p>
    <w:p>
      <w:pPr>
        <w:pStyle w:val="Nivel2"/>
        <w:numPr>
          <w:ilvl w:val="0"/>
          <w:numId w:val="0"/>
        </w:numPr>
        <w:spacing w:lineRule="auto" w:line="312" w:before="0" w:after="0"/>
        <w:ind w:hanging="0" w:left="0"/>
        <w:rPr>
          <w:sz w:val="18"/>
          <w:szCs w:val="18"/>
        </w:rPr>
      </w:pPr>
      <w:r>
        <w:rPr>
          <w:sz w:val="18"/>
          <w:szCs w:val="18"/>
        </w:rPr>
        <w:t>I – atraso injustificado na execução das linhas;</w:t>
      </w:r>
    </w:p>
    <w:p>
      <w:pPr>
        <w:pStyle w:val="Nivel2"/>
        <w:numPr>
          <w:ilvl w:val="0"/>
          <w:numId w:val="0"/>
        </w:numPr>
        <w:spacing w:lineRule="auto" w:line="312" w:before="0" w:after="0"/>
        <w:ind w:hanging="0" w:left="0"/>
        <w:rPr>
          <w:sz w:val="18"/>
          <w:szCs w:val="18"/>
        </w:rPr>
      </w:pPr>
      <w:r>
        <w:rPr>
          <w:sz w:val="18"/>
          <w:szCs w:val="18"/>
        </w:rPr>
        <w:t>II – interrupção parcial ou total dos serviços sem autorização da Administração;</w:t>
      </w:r>
    </w:p>
    <w:p>
      <w:pPr>
        <w:pStyle w:val="Nivel2"/>
        <w:numPr>
          <w:ilvl w:val="0"/>
          <w:numId w:val="0"/>
        </w:numPr>
        <w:spacing w:lineRule="auto" w:line="312" w:before="0" w:after="0"/>
        <w:ind w:hanging="0" w:left="0"/>
        <w:rPr>
          <w:sz w:val="18"/>
          <w:szCs w:val="18"/>
        </w:rPr>
      </w:pPr>
      <w:r>
        <w:rPr>
          <w:sz w:val="18"/>
          <w:szCs w:val="18"/>
        </w:rPr>
        <w:t>III – utilização de veículo em desacordo com as especificações contratuais;</w:t>
      </w:r>
    </w:p>
    <w:p>
      <w:pPr>
        <w:pStyle w:val="Nivel2"/>
        <w:numPr>
          <w:ilvl w:val="0"/>
          <w:numId w:val="0"/>
        </w:numPr>
        <w:spacing w:lineRule="auto" w:line="312" w:before="0" w:after="0"/>
        <w:ind w:hanging="0" w:left="0"/>
        <w:rPr>
          <w:sz w:val="18"/>
          <w:szCs w:val="18"/>
        </w:rPr>
      </w:pPr>
      <w:r>
        <w:rPr>
          <w:sz w:val="18"/>
          <w:szCs w:val="18"/>
        </w:rPr>
        <w:t>IV – utilização de motorista sem habilitação ou qualificação exigida pela legislação;</w:t>
      </w:r>
    </w:p>
    <w:p>
      <w:pPr>
        <w:pStyle w:val="Nivel2"/>
        <w:numPr>
          <w:ilvl w:val="0"/>
          <w:numId w:val="0"/>
        </w:numPr>
        <w:spacing w:lineRule="auto" w:line="312" w:before="0" w:after="0"/>
        <w:ind w:hanging="0" w:left="0"/>
        <w:rPr>
          <w:sz w:val="18"/>
          <w:szCs w:val="18"/>
        </w:rPr>
      </w:pPr>
      <w:r>
        <w:rPr>
          <w:sz w:val="18"/>
          <w:szCs w:val="18"/>
        </w:rPr>
        <w:t>V – descumprimento dos itinerários, horários ou demais determinações da Secretaria Municipal de Educação;</w:t>
      </w:r>
    </w:p>
    <w:p>
      <w:pPr>
        <w:pStyle w:val="Nivel2"/>
        <w:numPr>
          <w:ilvl w:val="0"/>
          <w:numId w:val="0"/>
        </w:numPr>
        <w:spacing w:lineRule="auto" w:line="312" w:before="0" w:after="0"/>
        <w:ind w:hanging="0" w:left="0"/>
        <w:rPr>
          <w:sz w:val="18"/>
          <w:szCs w:val="18"/>
        </w:rPr>
      </w:pPr>
      <w:r>
        <w:rPr>
          <w:sz w:val="18"/>
          <w:szCs w:val="18"/>
        </w:rPr>
        <w:t>VI – descumprimento das determinações da fiscalização contratual;</w:t>
      </w:r>
    </w:p>
    <w:p>
      <w:pPr>
        <w:pStyle w:val="Nivel2"/>
        <w:numPr>
          <w:ilvl w:val="0"/>
          <w:numId w:val="0"/>
        </w:numPr>
        <w:spacing w:lineRule="auto" w:line="312" w:before="0" w:after="0"/>
        <w:ind w:hanging="0" w:left="0"/>
        <w:rPr>
          <w:sz w:val="18"/>
          <w:szCs w:val="18"/>
        </w:rPr>
      </w:pPr>
      <w:r>
        <w:rPr>
          <w:sz w:val="18"/>
          <w:szCs w:val="18"/>
        </w:rPr>
        <w:t>VII – substituição de veículo ou motorista sem autorização da Administração, quando exigida;</w:t>
      </w:r>
    </w:p>
    <w:p>
      <w:pPr>
        <w:pStyle w:val="Nivel2"/>
        <w:numPr>
          <w:ilvl w:val="0"/>
          <w:numId w:val="0"/>
        </w:numPr>
        <w:spacing w:lineRule="auto" w:line="312" w:before="0" w:after="0"/>
        <w:ind w:hanging="0" w:left="0"/>
        <w:rPr>
          <w:sz w:val="18"/>
          <w:szCs w:val="18"/>
        </w:rPr>
      </w:pPr>
      <w:r>
        <w:rPr>
          <w:sz w:val="18"/>
          <w:szCs w:val="18"/>
        </w:rPr>
        <w:t>VIII – inexecução parcial ou total do contrato;</w:t>
      </w:r>
    </w:p>
    <w:p>
      <w:pPr>
        <w:pStyle w:val="Nivel2"/>
        <w:numPr>
          <w:ilvl w:val="0"/>
          <w:numId w:val="0"/>
        </w:numPr>
        <w:spacing w:lineRule="auto" w:line="312" w:before="0" w:after="0"/>
        <w:ind w:hanging="0" w:left="0"/>
        <w:rPr>
          <w:sz w:val="18"/>
          <w:szCs w:val="18"/>
        </w:rPr>
      </w:pPr>
      <w:r>
        <w:rPr>
          <w:sz w:val="18"/>
          <w:szCs w:val="18"/>
        </w:rPr>
        <w:t>IX – apresentação de documentos falsos ou informações inverídicas;</w:t>
      </w:r>
    </w:p>
    <w:p>
      <w:pPr>
        <w:pStyle w:val="Nivel2"/>
        <w:numPr>
          <w:ilvl w:val="0"/>
          <w:numId w:val="0"/>
        </w:numPr>
        <w:spacing w:lineRule="auto" w:line="312" w:before="0" w:after="0"/>
        <w:ind w:hanging="0" w:left="0"/>
        <w:rPr>
          <w:sz w:val="18"/>
          <w:szCs w:val="18"/>
        </w:rPr>
      </w:pPr>
      <w:r>
        <w:rPr>
          <w:sz w:val="18"/>
          <w:szCs w:val="18"/>
        </w:rPr>
        <w:t>X – prática de qualquer ato previsto nos arts. 155 e 156 da Lei Federal nº 14.133/2021.</w:t>
      </w:r>
    </w:p>
    <w:p>
      <w:pPr>
        <w:pStyle w:val="Nivel2"/>
        <w:numPr>
          <w:ilvl w:val="0"/>
          <w:numId w:val="0"/>
        </w:numPr>
        <w:spacing w:lineRule="auto" w:line="312"/>
        <w:ind w:hanging="0" w:left="0"/>
        <w:rPr>
          <w:sz w:val="18"/>
          <w:szCs w:val="18"/>
        </w:rPr>
      </w:pPr>
      <w:r>
        <w:rPr>
          <w:color w:val="auto"/>
          <w:sz w:val="18"/>
          <w:szCs w:val="18"/>
        </w:rPr>
        <w:t xml:space="preserve">12.3 - </w:t>
      </w:r>
      <w:r>
        <w:rPr>
          <w:sz w:val="18"/>
          <w:szCs w:val="18"/>
        </w:rPr>
        <w:t>Pela prática das infrações administrativas poderão ser aplicadas, observados a gravidade da conduta, os prejuízos causados, a reincidência e os princípios da proporcionalidade e razoabilidade, as seguintes sanções:</w:t>
      </w:r>
    </w:p>
    <w:p>
      <w:pPr>
        <w:pStyle w:val="Nivel2"/>
        <w:numPr>
          <w:ilvl w:val="0"/>
          <w:numId w:val="0"/>
        </w:numPr>
        <w:spacing w:lineRule="auto" w:line="312" w:before="0" w:after="0"/>
        <w:ind w:hanging="0" w:left="0"/>
        <w:rPr>
          <w:sz w:val="18"/>
          <w:szCs w:val="18"/>
        </w:rPr>
      </w:pPr>
      <w:r>
        <w:rPr>
          <w:sz w:val="18"/>
          <w:szCs w:val="18"/>
        </w:rPr>
        <w:t>I – advertência;</w:t>
      </w:r>
    </w:p>
    <w:p>
      <w:pPr>
        <w:pStyle w:val="Nivel2"/>
        <w:numPr>
          <w:ilvl w:val="0"/>
          <w:numId w:val="0"/>
        </w:numPr>
        <w:spacing w:lineRule="auto" w:line="312" w:before="0" w:after="0"/>
        <w:ind w:hanging="0" w:left="0"/>
        <w:rPr>
          <w:sz w:val="18"/>
          <w:szCs w:val="18"/>
        </w:rPr>
      </w:pPr>
      <w:r>
        <w:rPr>
          <w:sz w:val="18"/>
          <w:szCs w:val="18"/>
        </w:rPr>
        <w:t>II – multa;</w:t>
      </w:r>
    </w:p>
    <w:p>
      <w:pPr>
        <w:pStyle w:val="Nivel2"/>
        <w:numPr>
          <w:ilvl w:val="0"/>
          <w:numId w:val="0"/>
        </w:numPr>
        <w:spacing w:lineRule="auto" w:line="312" w:before="0" w:after="0"/>
        <w:ind w:hanging="0" w:left="0"/>
        <w:rPr>
          <w:sz w:val="18"/>
          <w:szCs w:val="18"/>
        </w:rPr>
      </w:pPr>
      <w:r>
        <w:rPr>
          <w:sz w:val="18"/>
          <w:szCs w:val="18"/>
        </w:rPr>
        <w:t>III – impedimento de licitar e contratar;</w:t>
      </w:r>
    </w:p>
    <w:p>
      <w:pPr>
        <w:pStyle w:val="Nivel2"/>
        <w:numPr>
          <w:ilvl w:val="0"/>
          <w:numId w:val="0"/>
        </w:numPr>
        <w:spacing w:lineRule="auto" w:line="312" w:before="0" w:after="0"/>
        <w:ind w:hanging="0" w:left="0"/>
        <w:rPr>
          <w:sz w:val="18"/>
          <w:szCs w:val="18"/>
        </w:rPr>
      </w:pPr>
      <w:r>
        <w:rPr>
          <w:sz w:val="18"/>
          <w:szCs w:val="18"/>
        </w:rPr>
        <w:t>IV – declaração de inidoneidade para licitar e contratar.</w:t>
      </w:r>
    </w:p>
    <w:p>
      <w:pPr>
        <w:pStyle w:val="Nivel2"/>
        <w:numPr>
          <w:ilvl w:val="0"/>
          <w:numId w:val="0"/>
        </w:numPr>
        <w:spacing w:lineRule="auto" w:line="312" w:before="0" w:after="0"/>
        <w:ind w:hanging="0" w:left="0"/>
        <w:rPr>
          <w:color w:val="auto"/>
          <w:sz w:val="18"/>
          <w:szCs w:val="18"/>
        </w:rPr>
      </w:pPr>
      <w:r>
        <w:rPr>
          <w:color w:val="auto"/>
          <w:sz w:val="18"/>
          <w:szCs w:val="18"/>
        </w:rPr>
        <w:t xml:space="preserve">12.4 - A aplicação das sanções observará o procedimento previsto na Lei Federal nº 14.133/2021 e na </w:t>
      </w:r>
      <w:r>
        <w:rPr>
          <w:b/>
          <w:bCs/>
          <w:color w:val="auto"/>
          <w:sz w:val="18"/>
          <w:szCs w:val="18"/>
        </w:rPr>
        <w:t>Portaria Municipal nº 293/2026</w:t>
      </w:r>
      <w:r>
        <w:rPr>
          <w:color w:val="auto"/>
          <w:sz w:val="18"/>
          <w:szCs w:val="18"/>
        </w:rPr>
        <w:t>, assegurados o contraditório, a ampla defesa e o devido processo legal.</w:t>
      </w:r>
    </w:p>
    <w:p>
      <w:pPr>
        <w:pStyle w:val="Nivel2"/>
        <w:numPr>
          <w:ilvl w:val="0"/>
          <w:numId w:val="0"/>
        </w:numPr>
        <w:spacing w:lineRule="auto" w:line="312"/>
        <w:ind w:hanging="0" w:left="0"/>
        <w:rPr>
          <w:sz w:val="18"/>
          <w:szCs w:val="18"/>
        </w:rPr>
      </w:pPr>
      <w:r>
        <w:rPr>
          <w:sz w:val="18"/>
          <w:szCs w:val="18"/>
        </w:rPr>
        <w:t>12.5 As multas eventualmente aplicadas poderão ser descontadas dos créditos devidos à contratada, compensadas administrativamente ou cobradas judicialmente, na forma da legislação vigente.</w:t>
      </w:r>
    </w:p>
    <w:p>
      <w:pPr>
        <w:pStyle w:val="Nivel2"/>
        <w:numPr>
          <w:ilvl w:val="0"/>
          <w:numId w:val="0"/>
        </w:numPr>
        <w:spacing w:lineRule="auto" w:line="312"/>
        <w:ind w:hanging="0" w:left="0"/>
        <w:rPr>
          <w:sz w:val="18"/>
          <w:szCs w:val="18"/>
        </w:rPr>
      </w:pPr>
      <w:r>
        <w:rPr>
          <w:sz w:val="18"/>
          <w:szCs w:val="18"/>
        </w:rPr>
        <w:t>12.6 A aplicação das sanções não exclui a obrigação de reparação integral dos danos eventualmente causados à Administração ou a terceiros.</w:t>
      </w:r>
    </w:p>
    <w:p>
      <w:pPr>
        <w:pStyle w:val="Nivel2"/>
        <w:numPr>
          <w:ilvl w:val="0"/>
          <w:numId w:val="0"/>
        </w:numPr>
        <w:spacing w:lineRule="auto" w:line="312" w:before="0" w:after="0"/>
        <w:ind w:hanging="0" w:left="0"/>
        <w:rPr>
          <w:sz w:val="18"/>
          <w:szCs w:val="18"/>
        </w:rPr>
      </w:pPr>
      <w:r>
        <w:rPr>
          <w:sz w:val="18"/>
          <w:szCs w:val="18"/>
        </w:rPr>
        <w:t>12.7. Na aplicação das sanções administrativas serão observados, dentre outros, os critérios previstos no §1º do art. 156 da Lei Federal nº 14.133/2021, especialmente:</w:t>
      </w:r>
    </w:p>
    <w:p>
      <w:pPr>
        <w:pStyle w:val="Nivel2"/>
        <w:numPr>
          <w:ilvl w:val="0"/>
          <w:numId w:val="0"/>
        </w:numPr>
        <w:spacing w:lineRule="auto" w:line="312" w:before="0" w:after="0"/>
        <w:ind w:hanging="0" w:left="0"/>
        <w:rPr>
          <w:sz w:val="18"/>
          <w:szCs w:val="18"/>
        </w:rPr>
      </w:pPr>
      <w:r>
        <w:rPr>
          <w:sz w:val="18"/>
          <w:szCs w:val="18"/>
        </w:rPr>
        <w:t>I – a natureza e a gravidade da infração;</w:t>
      </w:r>
    </w:p>
    <w:p>
      <w:pPr>
        <w:pStyle w:val="Nivel2"/>
        <w:numPr>
          <w:ilvl w:val="0"/>
          <w:numId w:val="0"/>
        </w:numPr>
        <w:spacing w:lineRule="auto" w:line="312" w:before="0" w:after="0"/>
        <w:ind w:hanging="0" w:left="0"/>
        <w:rPr>
          <w:sz w:val="18"/>
          <w:szCs w:val="18"/>
        </w:rPr>
      </w:pPr>
      <w:r>
        <w:rPr>
          <w:sz w:val="18"/>
          <w:szCs w:val="18"/>
        </w:rPr>
        <w:t>II – as peculiaridades do caso concreto;</w:t>
      </w:r>
    </w:p>
    <w:p>
      <w:pPr>
        <w:pStyle w:val="Nivel2"/>
        <w:numPr>
          <w:ilvl w:val="0"/>
          <w:numId w:val="0"/>
        </w:numPr>
        <w:spacing w:lineRule="auto" w:line="312" w:before="0" w:after="0"/>
        <w:ind w:hanging="0" w:left="0"/>
        <w:rPr>
          <w:sz w:val="18"/>
          <w:szCs w:val="18"/>
        </w:rPr>
      </w:pPr>
      <w:r>
        <w:rPr>
          <w:sz w:val="18"/>
          <w:szCs w:val="18"/>
        </w:rPr>
        <w:t>III – as circunstâncias agravantes ou atenuantes;</w:t>
      </w:r>
    </w:p>
    <w:p>
      <w:pPr>
        <w:pStyle w:val="Nivel2"/>
        <w:numPr>
          <w:ilvl w:val="0"/>
          <w:numId w:val="0"/>
        </w:numPr>
        <w:spacing w:lineRule="auto" w:line="312" w:before="0" w:after="0"/>
        <w:ind w:hanging="0" w:left="0"/>
        <w:rPr>
          <w:sz w:val="18"/>
          <w:szCs w:val="18"/>
        </w:rPr>
      </w:pPr>
      <w:r>
        <w:rPr>
          <w:sz w:val="18"/>
          <w:szCs w:val="18"/>
        </w:rPr>
        <w:t>IV – os danos causados à Administração;</w:t>
      </w:r>
    </w:p>
    <w:p>
      <w:pPr>
        <w:pStyle w:val="Nivel2"/>
        <w:numPr>
          <w:ilvl w:val="0"/>
          <w:numId w:val="0"/>
        </w:numPr>
        <w:spacing w:lineRule="auto" w:line="312" w:before="0" w:after="0"/>
        <w:ind w:hanging="0" w:left="0"/>
        <w:rPr>
          <w:sz w:val="18"/>
          <w:szCs w:val="18"/>
        </w:rPr>
      </w:pPr>
      <w:r>
        <w:rPr>
          <w:sz w:val="18"/>
          <w:szCs w:val="18"/>
        </w:rPr>
        <w:t>V – eventual implantação ou aperfeiçoamento de programa de integridade, quando aplicável.</w:t>
      </w:r>
    </w:p>
    <w:p>
      <w:pPr>
        <w:pStyle w:val="Nivel2"/>
        <w:numPr>
          <w:ilvl w:val="0"/>
          <w:numId w:val="0"/>
        </w:numPr>
        <w:spacing w:lineRule="auto" w:line="312" w:before="0" w:after="0"/>
        <w:ind w:hanging="0" w:left="0"/>
        <w:rPr>
          <w:sz w:val="18"/>
          <w:szCs w:val="18"/>
        </w:rPr>
      </w:pPr>
      <w:r>
        <w:rPr>
          <w:sz w:val="18"/>
          <w:szCs w:val="18"/>
        </w:rPr>
        <w:t>12.8. Os atos previstos como infrações administrativas na Lei Federal nº 14.133/2021 que também constituam atos lesivos à Administração Pública serão apurados e julgados na forma da legislação pertinente.</w:t>
      </w:r>
    </w:p>
    <w:p>
      <w:pPr>
        <w:pStyle w:val="Nivel2"/>
        <w:numPr>
          <w:ilvl w:val="0"/>
          <w:numId w:val="0"/>
        </w:numPr>
        <w:spacing w:lineRule="auto" w:line="312" w:before="0" w:after="0"/>
        <w:ind w:hanging="0" w:left="0"/>
        <w:rPr>
          <w:sz w:val="18"/>
          <w:szCs w:val="18"/>
        </w:rPr>
      </w:pPr>
      <w:r>
        <w:rPr>
          <w:sz w:val="18"/>
          <w:szCs w:val="18"/>
        </w:rPr>
        <w:t>12.9. A Administração promoverá os registros das sanções administrativas aplicadas nos cadastros oficiais previstos na legislação vigente, quando cabível.</w:t>
      </w:r>
    </w:p>
    <w:p>
      <w:pPr>
        <w:pStyle w:val="Nivel2"/>
        <w:numPr>
          <w:ilvl w:val="0"/>
          <w:numId w:val="0"/>
        </w:numPr>
        <w:spacing w:lineRule="auto" w:line="312" w:before="0" w:after="0"/>
        <w:ind w:hanging="0" w:left="0"/>
        <w:rPr>
          <w:sz w:val="18"/>
          <w:szCs w:val="18"/>
        </w:rPr>
      </w:pPr>
      <w:r>
        <w:rPr>
          <w:sz w:val="18"/>
          <w:szCs w:val="18"/>
        </w:rPr>
        <w:t>12.10. As sanções de impedimento de licitar e contratar e de declaração de inidoneidade observarão as hipóteses de reabilitação previstas no art. 163 da Lei Federal nº 14.133/2021.</w:t>
      </w:r>
    </w:p>
    <w:p>
      <w:pPr>
        <w:pStyle w:val="Nivel2"/>
        <w:numPr>
          <w:ilvl w:val="0"/>
          <w:numId w:val="0"/>
        </w:numPr>
        <w:spacing w:lineRule="auto" w:line="312" w:before="0" w:after="0"/>
        <w:ind w:hanging="0" w:left="0"/>
        <w:rPr>
          <w:sz w:val="18"/>
          <w:szCs w:val="18"/>
        </w:rPr>
      </w:pPr>
      <w:r>
        <w:rPr>
          <w:sz w:val="18"/>
          <w:szCs w:val="18"/>
        </w:rPr>
        <w:t>12.11. Os valores decorrentes de multas administrativas e indenizações poderão ser compensados com créditos eventualmente devidos pela Administração à contratada, observada a legislação vigente.</w:t>
      </w:r>
    </w:p>
    <w:p>
      <w:pPr>
        <w:pStyle w:val="Nivel2"/>
        <w:numPr>
          <w:ilvl w:val="0"/>
          <w:numId w:val="0"/>
        </w:numPr>
        <w:spacing w:lineRule="auto" w:line="312" w:before="0" w:after="0"/>
        <w:ind w:hanging="0" w:left="0"/>
        <w:rPr>
          <w:b/>
          <w:bCs/>
          <w:sz w:val="18"/>
          <w:szCs w:val="18"/>
        </w:rPr>
      </w:pPr>
      <w:r>
        <w:rPr>
          <w:b/>
          <w:bCs/>
          <w:sz w:val="18"/>
          <w:szCs w:val="18"/>
        </w:rPr>
        <w:t xml:space="preserve">13 </w:t>
      </w:r>
      <w:r>
        <w:rPr>
          <w:sz w:val="18"/>
          <w:szCs w:val="18"/>
        </w:rPr>
        <w:t xml:space="preserve">- </w:t>
      </w:r>
      <w:r>
        <w:rPr>
          <w:b/>
          <w:bCs/>
          <w:sz w:val="18"/>
          <w:szCs w:val="18"/>
        </w:rPr>
        <w:t>FORMA E CRITÉRIOS DE SELEÇÃO DO FORNECEDOR</w:t>
      </w:r>
    </w:p>
    <w:p>
      <w:pPr>
        <w:pStyle w:val="Nvel1-SemNum"/>
        <w:spacing w:before="0" w:after="0"/>
        <w:ind w:hanging="0" w:left="0"/>
        <w:rPr>
          <w:color w:val="auto"/>
          <w:sz w:val="18"/>
          <w:szCs w:val="18"/>
          <w:highlight w:val="yellow"/>
        </w:rPr>
      </w:pPr>
      <w:r>
        <w:rPr>
          <w:color w:val="auto"/>
          <w:sz w:val="18"/>
          <w:szCs w:val="18"/>
          <w:lang w:eastAsia="en-US"/>
        </w:rPr>
        <w:t>Forma de seleção e critério de julgamento da proposta</w:t>
      </w:r>
    </w:p>
    <w:p>
      <w:pPr>
        <w:pStyle w:val="Nivel2"/>
        <w:numPr>
          <w:ilvl w:val="0"/>
          <w:numId w:val="0"/>
        </w:numPr>
        <w:spacing w:lineRule="auto" w:line="312" w:before="0" w:after="0"/>
        <w:ind w:hanging="0" w:left="0"/>
        <w:rPr>
          <w:rFonts w:eastAsia="Arial"/>
          <w:b/>
          <w:color w:val="auto"/>
          <w:sz w:val="18"/>
          <w:szCs w:val="18"/>
        </w:rPr>
      </w:pPr>
      <w:r>
        <w:rPr>
          <w:rFonts w:eastAsia="Arial"/>
          <w:sz w:val="18"/>
          <w:szCs w:val="18"/>
        </w:rPr>
        <w:t xml:space="preserve">13.1 O fornecedor será selecionado mediante procedimento licitatório, na modalidade </w:t>
      </w:r>
      <w:r>
        <w:rPr>
          <w:rFonts w:eastAsia="Arial"/>
          <w:b/>
          <w:bCs/>
          <w:sz w:val="18"/>
          <w:szCs w:val="18"/>
        </w:rPr>
        <w:t>Pregão, na forma Eletrônica</w:t>
      </w:r>
      <w:r>
        <w:rPr>
          <w:rFonts w:eastAsia="Arial"/>
          <w:sz w:val="18"/>
          <w:szCs w:val="18"/>
        </w:rPr>
        <w:t xml:space="preserve">, adotando-se como critério de julgamento o </w:t>
      </w:r>
      <w:r>
        <w:rPr>
          <w:rFonts w:eastAsia="Arial"/>
          <w:b/>
          <w:bCs/>
          <w:sz w:val="18"/>
          <w:szCs w:val="18"/>
        </w:rPr>
        <w:t>menor preço por item (linha), considerando o valor unitário por quilômetro rodado</w:t>
      </w:r>
      <w:r>
        <w:rPr>
          <w:rFonts w:eastAsia="Arial"/>
          <w:sz w:val="18"/>
          <w:szCs w:val="18"/>
        </w:rPr>
        <w:t>, nos termos da Lei Federal nº 14.133/2021.</w:t>
      </w:r>
      <w:r>
        <w:rPr>
          <w:rFonts w:eastAsia="Arial"/>
          <w:b/>
          <w:color w:val="auto"/>
          <w:sz w:val="18"/>
          <w:szCs w:val="18"/>
        </w:rPr>
        <w:t>.</w:t>
      </w:r>
    </w:p>
    <w:p>
      <w:pPr>
        <w:pStyle w:val="Nvel1-SemNum"/>
        <w:spacing w:before="0" w:after="0"/>
        <w:ind w:hanging="0" w:left="0"/>
        <w:rPr>
          <w:color w:val="auto"/>
          <w:sz w:val="18"/>
          <w:szCs w:val="18"/>
        </w:rPr>
      </w:pPr>
      <w:r>
        <w:rPr>
          <w:color w:val="auto"/>
          <w:sz w:val="18"/>
          <w:szCs w:val="18"/>
          <w:lang w:eastAsia="en-US"/>
        </w:rPr>
        <w:t>14 - EXIGÊNCIAS DE HABILITAÇÃO</w:t>
      </w:r>
    </w:p>
    <w:p>
      <w:pPr>
        <w:pStyle w:val="Nivel2"/>
        <w:numPr>
          <w:ilvl w:val="0"/>
          <w:numId w:val="0"/>
        </w:numPr>
        <w:spacing w:lineRule="auto" w:line="312" w:before="0" w:after="0"/>
        <w:ind w:hanging="0" w:left="0"/>
        <w:rPr>
          <w:sz w:val="18"/>
          <w:szCs w:val="18"/>
        </w:rPr>
      </w:pPr>
      <w:r>
        <w:rPr>
          <w:sz w:val="18"/>
          <w:szCs w:val="18"/>
        </w:rPr>
        <w:t>14.2 - Para fins de habilitação, deverá o licitante comprovar os seguintes requisitos:</w:t>
      </w:r>
    </w:p>
    <w:p>
      <w:pPr>
        <w:pStyle w:val="Nvel1-SemNum"/>
        <w:spacing w:before="0" w:after="0"/>
        <w:ind w:hanging="0" w:left="0"/>
        <w:rPr>
          <w:color w:val="auto"/>
          <w:sz w:val="18"/>
          <w:szCs w:val="18"/>
        </w:rPr>
      </w:pPr>
      <w:r>
        <w:rPr>
          <w:color w:val="auto"/>
          <w:sz w:val="18"/>
          <w:szCs w:val="18"/>
          <w:lang w:eastAsia="zh-CN" w:bidi="hi-IN"/>
        </w:rPr>
        <w:tab/>
        <w:t>14.2.1 - Habilitação jurídica</w:t>
      </w:r>
    </w:p>
    <w:p>
      <w:pPr>
        <w:pStyle w:val="Nivel2"/>
        <w:numPr>
          <w:ilvl w:val="0"/>
          <w:numId w:val="0"/>
        </w:numPr>
        <w:spacing w:lineRule="auto" w:line="312" w:before="0" w:after="0"/>
        <w:ind w:firstLine="708" w:left="0"/>
        <w:rPr>
          <w:sz w:val="18"/>
          <w:szCs w:val="18"/>
        </w:rPr>
      </w:pPr>
      <w:bookmarkStart w:id="53" w:name="_Ref115800561"/>
      <w:r>
        <w:rPr>
          <w:b/>
          <w:bCs/>
          <w:sz w:val="18"/>
          <w:szCs w:val="18"/>
        </w:rPr>
        <w:t>14.2.1.1 - Pessoa física:</w:t>
      </w:r>
      <w:r>
        <w:rPr>
          <w:sz w:val="18"/>
          <w:szCs w:val="18"/>
        </w:rPr>
        <w:t xml:space="preserve"> cédula de identidade (RG) ou documento equivalente que, por força de lei, tenha validade para fins de identificação em todo o território nacional;</w:t>
      </w:r>
      <w:bookmarkEnd w:id="53"/>
    </w:p>
    <w:p>
      <w:pPr>
        <w:pStyle w:val="Nivel2"/>
        <w:numPr>
          <w:ilvl w:val="0"/>
          <w:numId w:val="0"/>
        </w:numPr>
        <w:spacing w:lineRule="auto" w:line="312" w:before="0" w:after="0"/>
        <w:ind w:firstLine="708" w:left="0"/>
        <w:rPr>
          <w:sz w:val="18"/>
          <w:szCs w:val="18"/>
        </w:rPr>
      </w:pPr>
      <w:r>
        <w:rPr>
          <w:b/>
          <w:bCs/>
          <w:sz w:val="18"/>
          <w:szCs w:val="18"/>
        </w:rPr>
        <w:t>14.2.1.2 - Empresário individual:</w:t>
      </w:r>
      <w:r>
        <w:rPr>
          <w:sz w:val="18"/>
          <w:szCs w:val="18"/>
        </w:rPr>
        <w:t xml:space="preserve"> inscrição no Registro Público de Empresas Mercantis, a cargo da Junta Comercial da respectiva sede; </w:t>
      </w:r>
    </w:p>
    <w:p>
      <w:pPr>
        <w:pStyle w:val="Nivel2"/>
        <w:numPr>
          <w:ilvl w:val="0"/>
          <w:numId w:val="0"/>
        </w:numPr>
        <w:spacing w:lineRule="auto" w:line="312" w:before="0" w:after="0"/>
        <w:ind w:firstLine="708" w:left="0"/>
        <w:rPr>
          <w:sz w:val="18"/>
          <w:szCs w:val="18"/>
        </w:rPr>
      </w:pPr>
      <w:r>
        <w:rPr>
          <w:b/>
          <w:bCs/>
          <w:sz w:val="18"/>
          <w:szCs w:val="18"/>
        </w:rPr>
        <w:t>14.2.1.3 - Microempreendedor Individual - MEI:</w:t>
      </w:r>
      <w:r>
        <w:rPr>
          <w:sz w:val="18"/>
          <w:szCs w:val="18"/>
        </w:rPr>
        <w:t xml:space="preserve"> Certificado da Condição de Microempreendedor Individual - CCMEI, cuja aceitação ficará condicionada à verificação da autenticidade no sítio </w:t>
      </w:r>
      <w:hyperlink r:id="rId31">
        <w:r>
          <w:rPr>
            <w:rStyle w:val="Style"/>
            <w:color w:themeColor="hyperlink" w:val="0000FF"/>
            <w:sz w:val="18"/>
            <w:szCs w:val="18"/>
            <w:u w:val="single"/>
          </w:rPr>
          <w:t>https://www.gov.br/empresas-e-negocios/pt-br/empreendedor</w:t>
        </w:r>
      </w:hyperlink>
      <w:r>
        <w:rPr>
          <w:sz w:val="18"/>
          <w:szCs w:val="18"/>
        </w:rPr>
        <w:t xml:space="preserve">;  </w:t>
      </w:r>
    </w:p>
    <w:p>
      <w:pPr>
        <w:pStyle w:val="Nivel2"/>
        <w:numPr>
          <w:ilvl w:val="0"/>
          <w:numId w:val="0"/>
        </w:numPr>
        <w:spacing w:lineRule="auto" w:line="312" w:before="0" w:after="0"/>
        <w:ind w:firstLine="708" w:left="0"/>
        <w:rPr>
          <w:sz w:val="18"/>
          <w:szCs w:val="18"/>
        </w:rPr>
      </w:pPr>
      <w:r>
        <w:rPr>
          <w:b/>
          <w:bCs/>
          <w:sz w:val="18"/>
          <w:szCs w:val="18"/>
        </w:rPr>
        <w:t>14.2.1.4 - Sociedade empresária, sociedade limitada unipessoal – SLU ou sociedade identificada como empresa individual de responsabilidade limitada - EIRELI:</w:t>
      </w:r>
      <w:r>
        <w:rPr>
          <w:sz w:val="18"/>
          <w:szCs w:val="18"/>
        </w:rPr>
        <w:t xml:space="preserve"> inscrição do ato constitutivo, estatuto ou contrato social no Registro Público de Empresas Mercantis, a cargo da Junta Comercial da respectiva sede, acompanhada de documento comprobatório de seus administradores;</w:t>
      </w:r>
    </w:p>
    <w:p>
      <w:pPr>
        <w:pStyle w:val="Nivel2"/>
        <w:numPr>
          <w:ilvl w:val="0"/>
          <w:numId w:val="0"/>
        </w:numPr>
        <w:spacing w:lineRule="auto" w:line="312" w:before="0" w:after="0"/>
        <w:ind w:firstLine="708" w:left="0"/>
        <w:rPr>
          <w:sz w:val="18"/>
          <w:szCs w:val="18"/>
        </w:rPr>
      </w:pPr>
      <w:r>
        <w:rPr>
          <w:b/>
          <w:bCs/>
          <w:sz w:val="18"/>
          <w:szCs w:val="18"/>
        </w:rPr>
        <w:t>14.2.1.5 - Sociedade empresária estrangeira:</w:t>
      </w:r>
      <w:r>
        <w:rPr>
          <w:sz w:val="18"/>
          <w:szCs w:val="1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pPr>
        <w:pStyle w:val="Nivel2"/>
        <w:numPr>
          <w:ilvl w:val="0"/>
          <w:numId w:val="0"/>
        </w:numPr>
        <w:spacing w:lineRule="auto" w:line="312" w:before="0" w:after="0"/>
        <w:ind w:firstLine="708" w:left="0"/>
        <w:rPr>
          <w:sz w:val="18"/>
          <w:szCs w:val="18"/>
        </w:rPr>
      </w:pPr>
      <w:r>
        <w:rPr>
          <w:b/>
          <w:bCs/>
          <w:sz w:val="18"/>
          <w:szCs w:val="18"/>
        </w:rPr>
        <w:t xml:space="preserve">14.2.1.6 - Sociedade simples: </w:t>
      </w:r>
      <w:r>
        <w:rPr>
          <w:sz w:val="18"/>
          <w:szCs w:val="18"/>
        </w:rPr>
        <w:t>inscrição do ato constitutivo no Registro Civil de Pessoas Jurídicas do local de sua sede, acompanhada de documento comprobatório de seus administradores;</w:t>
      </w:r>
    </w:p>
    <w:p>
      <w:pPr>
        <w:pStyle w:val="Nivel2"/>
        <w:numPr>
          <w:ilvl w:val="0"/>
          <w:numId w:val="0"/>
        </w:numPr>
        <w:spacing w:lineRule="auto" w:line="312" w:before="0" w:after="0"/>
        <w:ind w:firstLine="708" w:left="0"/>
        <w:rPr>
          <w:sz w:val="18"/>
          <w:szCs w:val="18"/>
        </w:rPr>
      </w:pPr>
      <w:r>
        <w:rPr>
          <w:b/>
          <w:bCs/>
          <w:sz w:val="18"/>
          <w:szCs w:val="18"/>
        </w:rPr>
        <w:t>14.2.1.7 - Filial, sucursal ou agência de sociedade simples ou empresária:</w:t>
      </w:r>
      <w:r>
        <w:rPr>
          <w:sz w:val="18"/>
          <w:szCs w:val="18"/>
        </w:rPr>
        <w:t xml:space="preserve"> inscrição do ato constitutivo da filial, sucursal ou agência da sociedade simples ou empresária, respectivamente, no Registro Civil das Pessoas Jurídicas ou no Registro Público de Empresas </w:t>
      </w:r>
      <w:bookmarkStart w:id="54" w:name="_Int_ySfCXwr4"/>
      <w:r>
        <w:rPr>
          <w:sz w:val="18"/>
          <w:szCs w:val="18"/>
        </w:rPr>
        <w:t>Mercantis onde</w:t>
      </w:r>
      <w:bookmarkEnd w:id="54"/>
      <w:r>
        <w:rPr>
          <w:sz w:val="18"/>
          <w:szCs w:val="18"/>
        </w:rPr>
        <w:t xml:space="preserve"> opera, com averbação no Registro onde tem sede a matriz.</w:t>
      </w:r>
    </w:p>
    <w:p>
      <w:pPr>
        <w:pStyle w:val="Nivel2"/>
        <w:numPr>
          <w:ilvl w:val="0"/>
          <w:numId w:val="0"/>
        </w:numPr>
        <w:spacing w:lineRule="auto" w:line="312" w:before="0" w:after="0"/>
        <w:ind w:firstLine="708" w:left="0"/>
        <w:rPr>
          <w:sz w:val="18"/>
          <w:szCs w:val="18"/>
        </w:rPr>
      </w:pPr>
      <w:r>
        <w:rPr>
          <w:b/>
          <w:bCs/>
          <w:sz w:val="18"/>
          <w:szCs w:val="18"/>
        </w:rPr>
        <w:t>14.2.1.8 - Sociedade cooperativa:</w:t>
      </w:r>
      <w:r>
        <w:rPr>
          <w:sz w:val="18"/>
          <w:szCs w:val="18"/>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pPr>
        <w:pStyle w:val="Nvel1-SemNum"/>
        <w:spacing w:before="0" w:after="0"/>
        <w:ind w:hanging="0" w:left="0"/>
        <w:rPr>
          <w:color w:val="auto"/>
          <w:sz w:val="18"/>
          <w:szCs w:val="18"/>
        </w:rPr>
      </w:pPr>
      <w:r>
        <w:rPr>
          <w:color w:val="auto"/>
          <w:sz w:val="18"/>
          <w:szCs w:val="18"/>
          <w:lang w:eastAsia="zh-CN" w:bidi="hi-IN"/>
        </w:rPr>
        <w:t>14.2.2 - Habilitação fiscal, social e trabalhista</w:t>
      </w:r>
    </w:p>
    <w:p>
      <w:pPr>
        <w:pStyle w:val="Nivel2"/>
        <w:numPr>
          <w:ilvl w:val="0"/>
          <w:numId w:val="0"/>
        </w:numPr>
        <w:spacing w:lineRule="auto" w:line="312" w:before="0" w:after="0"/>
        <w:ind w:hanging="0" w:left="708"/>
        <w:rPr>
          <w:sz w:val="18"/>
          <w:szCs w:val="18"/>
        </w:rPr>
      </w:pPr>
      <w:r>
        <w:rPr>
          <w:sz w:val="18"/>
          <w:szCs w:val="18"/>
        </w:rPr>
        <w:t>14.2.2.1 - Prova de inscrição no Cadastro Nacional de Pessoas Jurídicas ou no Cadastro de Pessoas Físicas, conforme o caso;</w:t>
      </w:r>
    </w:p>
    <w:p>
      <w:pPr>
        <w:pStyle w:val="Nivel2"/>
        <w:numPr>
          <w:ilvl w:val="0"/>
          <w:numId w:val="0"/>
        </w:numPr>
        <w:spacing w:lineRule="auto" w:line="312" w:before="0" w:after="0"/>
        <w:ind w:hanging="0" w:left="708"/>
        <w:rPr>
          <w:sz w:val="18"/>
          <w:szCs w:val="18"/>
        </w:rPr>
      </w:pPr>
      <w:r>
        <w:rPr>
          <w:sz w:val="18"/>
          <w:szCs w:val="18"/>
        </w:rPr>
        <w:t>14.2.2.2 -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Nivel2"/>
        <w:numPr>
          <w:ilvl w:val="0"/>
          <w:numId w:val="0"/>
        </w:numPr>
        <w:spacing w:lineRule="auto" w:line="312" w:before="0" w:after="0"/>
        <w:ind w:hanging="0" w:left="708"/>
        <w:rPr>
          <w:sz w:val="18"/>
          <w:szCs w:val="18"/>
        </w:rPr>
      </w:pPr>
      <w:r>
        <w:rPr>
          <w:sz w:val="18"/>
          <w:szCs w:val="18"/>
        </w:rPr>
        <w:t>14.2.2.3 - Prova de regularidade com o Fundo de Garantia do Tempo de Serviço (FGTS);</w:t>
      </w:r>
    </w:p>
    <w:p>
      <w:pPr>
        <w:pStyle w:val="Nivel2"/>
        <w:numPr>
          <w:ilvl w:val="0"/>
          <w:numId w:val="0"/>
        </w:numPr>
        <w:spacing w:lineRule="auto" w:line="312" w:before="0" w:after="0"/>
        <w:ind w:firstLine="708" w:left="0"/>
        <w:rPr>
          <w:sz w:val="18"/>
          <w:szCs w:val="18"/>
        </w:rPr>
      </w:pPr>
      <w:r>
        <w:rPr>
          <w:sz w:val="18"/>
          <w:szCs w:val="18"/>
        </w:rPr>
        <w:t>14.2.2.4 -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ivel2"/>
        <w:numPr>
          <w:ilvl w:val="0"/>
          <w:numId w:val="0"/>
        </w:numPr>
        <w:spacing w:lineRule="auto" w:line="312" w:before="0" w:after="0"/>
        <w:ind w:firstLine="708" w:left="0"/>
        <w:rPr>
          <w:sz w:val="18"/>
          <w:szCs w:val="18"/>
        </w:rPr>
      </w:pPr>
      <w:r>
        <w:rPr>
          <w:sz w:val="18"/>
          <w:szCs w:val="18"/>
        </w:rPr>
        <w:t>14.2.2.5 - Prova de inscrição no cadastro de contribuintes</w:t>
      </w:r>
      <w:r>
        <w:rPr>
          <w:i/>
          <w:sz w:val="18"/>
          <w:szCs w:val="18"/>
        </w:rPr>
        <w:t xml:space="preserve"> ESTADUAL</w:t>
      </w:r>
      <w:r>
        <w:rPr>
          <w:sz w:val="18"/>
          <w:szCs w:val="18"/>
        </w:rPr>
        <w:t xml:space="preserve"> relativo ao domicílio ou sede do fornecedor, pertinente ao seu ramo de atividade e compatível com o objeto contratual; </w:t>
      </w:r>
    </w:p>
    <w:p>
      <w:pPr>
        <w:pStyle w:val="Nivel2"/>
        <w:numPr>
          <w:ilvl w:val="0"/>
          <w:numId w:val="0"/>
        </w:numPr>
        <w:spacing w:lineRule="auto" w:line="312" w:before="0" w:after="0"/>
        <w:ind w:hanging="0" w:left="708"/>
        <w:rPr>
          <w:sz w:val="18"/>
          <w:szCs w:val="18"/>
        </w:rPr>
      </w:pPr>
      <w:r>
        <w:rPr>
          <w:sz w:val="18"/>
          <w:szCs w:val="18"/>
        </w:rPr>
        <w:t>14.2.2.6 - Prova de regularidade com a Fazenda</w:t>
      </w:r>
      <w:r>
        <w:rPr>
          <w:color w:val="auto"/>
          <w:sz w:val="18"/>
          <w:szCs w:val="18"/>
        </w:rPr>
        <w:t xml:space="preserve"> </w:t>
      </w:r>
      <w:r>
        <w:rPr>
          <w:i/>
          <w:iCs/>
          <w:color w:val="auto"/>
          <w:sz w:val="18"/>
          <w:szCs w:val="18"/>
        </w:rPr>
        <w:t xml:space="preserve">MUNICIPAL </w:t>
      </w:r>
      <w:r>
        <w:rPr>
          <w:sz w:val="18"/>
          <w:szCs w:val="18"/>
        </w:rPr>
        <w:t>do domicílio ou sede do fornecedor, relativa à atividade em cujo exercício contrata ou concorre;</w:t>
      </w:r>
    </w:p>
    <w:p>
      <w:pPr>
        <w:pStyle w:val="Nivel2"/>
        <w:numPr>
          <w:ilvl w:val="0"/>
          <w:numId w:val="0"/>
        </w:numPr>
        <w:spacing w:lineRule="auto" w:line="312" w:before="0" w:after="0"/>
        <w:ind w:hanging="0" w:left="708"/>
        <w:rPr>
          <w:sz w:val="18"/>
          <w:szCs w:val="18"/>
        </w:rPr>
      </w:pPr>
      <w:r>
        <w:rPr>
          <w:sz w:val="18"/>
          <w:szCs w:val="18"/>
        </w:rPr>
        <w:t xml:space="preserve">14.2.2.7 - Caso o fornecedor seja considerado isento dos tributos </w:t>
      </w:r>
      <w:r>
        <w:rPr>
          <w:i/>
          <w:iCs/>
          <w:color w:val="auto"/>
          <w:sz w:val="18"/>
          <w:szCs w:val="18"/>
        </w:rPr>
        <w:t xml:space="preserve">ESTADUAL OU MUNICIPAL </w:t>
      </w:r>
      <w:r>
        <w:rPr>
          <w:sz w:val="18"/>
          <w:szCs w:val="18"/>
        </w:rPr>
        <w:t>relacionados ao objeto contratual, deverá comprovar tal condição mediante a apresentação de declaração da Fazenda respectiva do seu domicílio ou sede, ou outra equivalente, na forma da lei.</w:t>
      </w:r>
    </w:p>
    <w:p>
      <w:pPr>
        <w:pStyle w:val="Nivel2"/>
        <w:numPr>
          <w:ilvl w:val="0"/>
          <w:numId w:val="0"/>
        </w:numPr>
        <w:spacing w:lineRule="auto" w:line="312" w:before="0" w:after="0"/>
        <w:ind w:hanging="0" w:left="708"/>
        <w:rPr>
          <w:sz w:val="18"/>
          <w:szCs w:val="18"/>
        </w:rPr>
      </w:pPr>
      <w:r>
        <w:rPr>
          <w:sz w:val="18"/>
          <w:szCs w:val="18"/>
        </w:rPr>
        <w:t>14.2.2.8 - O fornecedor enquadrado como microempreendedor individual que pretenda auferir os benefícios do tratamento diferenciado previstos na Lei Complementar n. 123, de 2006, estará dispensado da prova de inscrição nos cadastros de contribuintes estadual e municipal.</w:t>
      </w:r>
    </w:p>
    <w:p>
      <w:pPr>
        <w:pStyle w:val="Nvel1-SemNum"/>
        <w:spacing w:before="0" w:after="0"/>
        <w:ind w:hanging="0" w:left="0"/>
        <w:rPr>
          <w:color w:val="auto"/>
          <w:sz w:val="18"/>
          <w:szCs w:val="18"/>
        </w:rPr>
      </w:pPr>
      <w:r>
        <w:rPr>
          <w:color w:val="auto"/>
          <w:sz w:val="18"/>
          <w:szCs w:val="18"/>
          <w:lang w:eastAsia="zh-CN" w:bidi="hi-IN"/>
        </w:rPr>
        <w:t>14.2.3 - Qualificação Econômico-Financeira</w:t>
      </w:r>
    </w:p>
    <w:p>
      <w:pPr>
        <w:pStyle w:val="Nivel2"/>
        <w:numPr>
          <w:ilvl w:val="0"/>
          <w:numId w:val="0"/>
        </w:numPr>
        <w:spacing w:lineRule="auto" w:line="312" w:before="0" w:after="0"/>
        <w:ind w:hanging="0" w:left="708"/>
        <w:rPr>
          <w:sz w:val="18"/>
          <w:szCs w:val="18"/>
        </w:rPr>
      </w:pPr>
      <w:r>
        <w:rPr>
          <w:sz w:val="18"/>
          <w:szCs w:val="18"/>
        </w:rPr>
        <w:t xml:space="preserve">14.2.3.1 - Certidão negativa de insolvência civil expedida pelo distribuidor do domicílio ou sede do licitante, caso se trate de pessoa física, desde que admitida a sua participação na licitação, ou de sociedade simples; </w:t>
      </w:r>
    </w:p>
    <w:p>
      <w:pPr>
        <w:pStyle w:val="Nivel2"/>
        <w:numPr>
          <w:ilvl w:val="0"/>
          <w:numId w:val="0"/>
        </w:numPr>
        <w:spacing w:lineRule="auto" w:line="312" w:before="0" w:after="0"/>
        <w:ind w:hanging="0" w:left="708"/>
        <w:rPr>
          <w:sz w:val="18"/>
          <w:szCs w:val="18"/>
        </w:rPr>
      </w:pPr>
      <w:r>
        <w:rPr>
          <w:sz w:val="18"/>
          <w:szCs w:val="18"/>
        </w:rPr>
        <w:t>14.2.3.2 - Certidão negativa de falência expedida pelo distribuidor da sede do fornecedor - Lei nº 14.133, de 2021, art. 69, caput, inciso II);</w:t>
      </w:r>
    </w:p>
    <w:p>
      <w:pPr>
        <w:pStyle w:val="Nvel1-SemNum"/>
        <w:spacing w:before="0" w:after="0"/>
        <w:ind w:hanging="0" w:left="0"/>
        <w:rPr>
          <w:sz w:val="18"/>
          <w:szCs w:val="18"/>
        </w:rPr>
      </w:pPr>
      <w:r>
        <w:rPr>
          <w:color w:val="auto"/>
          <w:sz w:val="18"/>
          <w:szCs w:val="18"/>
          <w:lang w:eastAsia="zh-CN" w:bidi="hi-IN"/>
        </w:rPr>
        <w:t>14.2.4 - Qualificação Técnica</w:t>
      </w:r>
    </w:p>
    <w:p>
      <w:pPr>
        <w:pStyle w:val="Nivel2"/>
        <w:numPr>
          <w:ilvl w:val="0"/>
          <w:numId w:val="0"/>
        </w:numPr>
        <w:spacing w:lineRule="auto" w:line="312" w:before="0" w:after="0"/>
        <w:ind w:hanging="0" w:left="0"/>
        <w:rPr>
          <w:sz w:val="18"/>
          <w:szCs w:val="18"/>
        </w:rPr>
      </w:pPr>
      <w:r>
        <w:rPr>
          <w:color w:val="auto"/>
          <w:sz w:val="18"/>
          <w:szCs w:val="18"/>
        </w:rPr>
        <w:t xml:space="preserve">14.2.4.1. </w:t>
      </w:r>
      <w:r>
        <w:rPr>
          <w:sz w:val="18"/>
          <w:szCs w:val="18"/>
        </w:rPr>
        <w:t xml:space="preserve">Apresentação de, no mínimo, um atestado de capacidade técnica emitido por pessoa jurídica de direito público ou privado, comprovando a execução satisfatória de serviços compatíveis com o objeto desta licitação, consistentes na prestação de serviços de transporte escolar e/ou transporte coletivo de passageiros. </w:t>
      </w:r>
    </w:p>
    <w:p>
      <w:pPr>
        <w:pStyle w:val="Nivel2"/>
        <w:numPr>
          <w:ilvl w:val="0"/>
          <w:numId w:val="0"/>
        </w:numPr>
        <w:spacing w:lineRule="auto" w:line="312" w:before="0" w:after="0"/>
        <w:ind w:hanging="0" w:left="0"/>
        <w:rPr>
          <w:sz w:val="18"/>
          <w:szCs w:val="18"/>
        </w:rPr>
      </w:pPr>
      <w:r>
        <w:rPr>
          <w:sz w:val="18"/>
          <w:szCs w:val="18"/>
        </w:rPr>
        <w:t>14.2.4.2.-Os atestados de capacidade técnica poderão ser apresentados em nome da matriz ou da filial do fornecedor.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pPr>
        <w:pStyle w:val="Nivel2"/>
        <w:numPr>
          <w:ilvl w:val="3"/>
          <w:numId w:val="25"/>
        </w:numPr>
        <w:spacing w:lineRule="auto" w:line="312" w:before="0" w:after="0"/>
        <w:rPr>
          <w:b/>
          <w:bCs/>
          <w:sz w:val="18"/>
          <w:szCs w:val="18"/>
        </w:rPr>
      </w:pPr>
      <w:r>
        <w:rPr>
          <w:sz w:val="18"/>
          <w:szCs w:val="18"/>
        </w:rPr>
        <w:t>A empresa deverá apresentar declaração de disponibilidade da frota necessária à execução contratual.</w:t>
      </w:r>
    </w:p>
    <w:p>
      <w:pPr>
        <w:pStyle w:val="Nivel2"/>
        <w:numPr>
          <w:ilvl w:val="3"/>
          <w:numId w:val="25"/>
        </w:numPr>
        <w:spacing w:lineRule="auto" w:line="312" w:before="0" w:after="0"/>
        <w:rPr>
          <w:b/>
          <w:bCs/>
          <w:sz w:val="18"/>
          <w:szCs w:val="18"/>
        </w:rPr>
      </w:pPr>
      <w:r>
        <w:rPr>
          <w:sz w:val="18"/>
          <w:szCs w:val="18"/>
        </w:rPr>
        <w:t>A empresa deverá declarar que apresentará, antes da assinatura do contrato, toda a documentação dos veículos e dos motoristas exigida neste Termo de Referência.</w:t>
      </w:r>
    </w:p>
    <w:p>
      <w:pPr>
        <w:pStyle w:val="Nivel2"/>
        <w:numPr>
          <w:ilvl w:val="3"/>
          <w:numId w:val="25"/>
        </w:numPr>
        <w:spacing w:lineRule="auto" w:line="312" w:before="0" w:after="0"/>
        <w:rPr>
          <w:b/>
          <w:bCs/>
          <w:sz w:val="18"/>
          <w:szCs w:val="18"/>
        </w:rPr>
      </w:pPr>
      <w:r>
        <w:rPr>
          <w:sz w:val="18"/>
          <w:szCs w:val="18"/>
        </w:rPr>
        <w:t>Antes da assinatura do contrato, a empresa vencedora deverá comprovar que os veículos atendem integralmente às exigências do Código de Trânsito Brasileiro, Resoluções do CONTRAN, normas do DETRAN/RS e demais exigências deste Termo de Referência.</w:t>
      </w:r>
    </w:p>
    <w:p>
      <w:pPr>
        <w:pStyle w:val="Nivel2"/>
        <w:numPr>
          <w:ilvl w:val="3"/>
          <w:numId w:val="25"/>
        </w:numPr>
        <w:spacing w:lineRule="auto" w:line="312" w:before="0" w:after="0"/>
        <w:rPr>
          <w:b/>
          <w:bCs/>
          <w:sz w:val="18"/>
          <w:szCs w:val="18"/>
        </w:rPr>
      </w:pPr>
      <w:r>
        <w:rPr>
          <w:sz w:val="18"/>
          <w:szCs w:val="18"/>
        </w:rPr>
        <w:t>Antes da assinatura do contrato deverá ser apresentada a relação nominal dos motoristas responsáveis pela execução contratual.</w:t>
      </w:r>
    </w:p>
    <w:p>
      <w:pPr>
        <w:pStyle w:val="Nivel2"/>
        <w:numPr>
          <w:ilvl w:val="3"/>
          <w:numId w:val="25"/>
        </w:numPr>
        <w:spacing w:lineRule="auto" w:line="312" w:before="0" w:after="0"/>
        <w:rPr>
          <w:b/>
          <w:bCs/>
          <w:sz w:val="18"/>
          <w:szCs w:val="18"/>
        </w:rPr>
      </w:pPr>
      <w:r>
        <w:rPr>
          <w:sz w:val="18"/>
          <w:szCs w:val="18"/>
        </w:rPr>
        <w:t>Acompanhada de:</w:t>
      </w:r>
    </w:p>
    <w:p>
      <w:pPr>
        <w:pStyle w:val="Nivel2"/>
        <w:numPr>
          <w:ilvl w:val="0"/>
          <w:numId w:val="23"/>
        </w:numPr>
        <w:spacing w:lineRule="auto" w:line="312" w:before="0" w:after="0"/>
        <w:rPr>
          <w:sz w:val="18"/>
          <w:szCs w:val="18"/>
        </w:rPr>
      </w:pPr>
      <w:r>
        <w:rPr>
          <w:sz w:val="18"/>
          <w:szCs w:val="18"/>
        </w:rPr>
        <w:t xml:space="preserve">CNH categoria compatível; </w:t>
      </w:r>
    </w:p>
    <w:p>
      <w:pPr>
        <w:pStyle w:val="Nivel2"/>
        <w:numPr>
          <w:ilvl w:val="0"/>
          <w:numId w:val="23"/>
        </w:numPr>
        <w:spacing w:lineRule="auto" w:line="312" w:before="0" w:after="0"/>
        <w:rPr>
          <w:sz w:val="18"/>
          <w:szCs w:val="18"/>
        </w:rPr>
      </w:pPr>
      <w:r>
        <w:rPr>
          <w:sz w:val="18"/>
          <w:szCs w:val="18"/>
        </w:rPr>
        <w:t xml:space="preserve">Curso Especializado para Transporte Escolar; </w:t>
      </w:r>
    </w:p>
    <w:p>
      <w:pPr>
        <w:pStyle w:val="Nivel2"/>
        <w:numPr>
          <w:ilvl w:val="0"/>
          <w:numId w:val="23"/>
        </w:numPr>
        <w:spacing w:lineRule="auto" w:line="312" w:before="0" w:after="0"/>
        <w:rPr>
          <w:sz w:val="18"/>
          <w:szCs w:val="18"/>
        </w:rPr>
      </w:pPr>
      <w:r>
        <w:rPr>
          <w:sz w:val="18"/>
          <w:szCs w:val="18"/>
        </w:rPr>
        <w:t xml:space="preserve">Certidões exigidas pela legislação; </w:t>
      </w:r>
    </w:p>
    <w:p>
      <w:pPr>
        <w:pStyle w:val="Nivel2"/>
        <w:numPr>
          <w:ilvl w:val="0"/>
          <w:numId w:val="23"/>
        </w:numPr>
        <w:spacing w:lineRule="auto" w:line="312" w:before="0" w:after="0"/>
        <w:rPr>
          <w:sz w:val="18"/>
          <w:szCs w:val="18"/>
        </w:rPr>
      </w:pPr>
      <w:r>
        <w:rPr>
          <w:sz w:val="18"/>
          <w:szCs w:val="18"/>
        </w:rPr>
        <w:t xml:space="preserve">Exame toxicológico, quando exigível; </w:t>
      </w:r>
    </w:p>
    <w:p>
      <w:pPr>
        <w:pStyle w:val="Nivel2"/>
        <w:numPr>
          <w:ilvl w:val="0"/>
          <w:numId w:val="23"/>
        </w:numPr>
        <w:spacing w:lineRule="auto" w:line="312" w:before="0" w:after="0"/>
        <w:rPr>
          <w:sz w:val="18"/>
          <w:szCs w:val="18"/>
        </w:rPr>
      </w:pPr>
      <w:r>
        <w:rPr>
          <w:sz w:val="18"/>
          <w:szCs w:val="18"/>
        </w:rPr>
        <w:t xml:space="preserve">demais documentos previstos na legislação. </w:t>
      </w:r>
    </w:p>
    <w:p>
      <w:pPr>
        <w:pStyle w:val="Nivel2"/>
        <w:numPr>
          <w:ilvl w:val="0"/>
          <w:numId w:val="0"/>
        </w:numPr>
        <w:spacing w:lineRule="auto" w:line="312" w:before="0" w:after="0"/>
        <w:ind w:hanging="0" w:left="0"/>
        <w:rPr>
          <w:b/>
          <w:bCs/>
          <w:sz w:val="18"/>
          <w:szCs w:val="18"/>
        </w:rPr>
      </w:pPr>
      <w:r>
        <w:rPr>
          <w:b/>
          <w:bCs/>
          <w:sz w:val="18"/>
          <w:szCs w:val="18"/>
        </w:rPr>
        <w:t>14.2.4.10</w:t>
      </w:r>
    </w:p>
    <w:p>
      <w:pPr>
        <w:pStyle w:val="Nivel2"/>
        <w:numPr>
          <w:ilvl w:val="0"/>
          <w:numId w:val="0"/>
        </w:numPr>
        <w:spacing w:lineRule="auto" w:line="312" w:before="0" w:after="0"/>
        <w:ind w:hanging="0" w:left="0"/>
        <w:rPr>
          <w:sz w:val="18"/>
          <w:szCs w:val="18"/>
        </w:rPr>
      </w:pPr>
      <w:r>
        <w:rPr>
          <w:sz w:val="18"/>
          <w:szCs w:val="18"/>
        </w:rPr>
        <w:t>Veículos</w:t>
      </w:r>
    </w:p>
    <w:p>
      <w:pPr>
        <w:pStyle w:val="Nivel2"/>
        <w:numPr>
          <w:ilvl w:val="0"/>
          <w:numId w:val="0"/>
        </w:numPr>
        <w:spacing w:lineRule="auto" w:line="312" w:before="0" w:after="0"/>
        <w:ind w:hanging="0" w:left="0"/>
        <w:rPr>
          <w:sz w:val="18"/>
          <w:szCs w:val="18"/>
        </w:rPr>
      </w:pPr>
      <w:r>
        <w:rPr>
          <w:sz w:val="18"/>
          <w:szCs w:val="18"/>
        </w:rPr>
        <w:t>Antes da assinatura deverão ser apresentados:</w:t>
      </w:r>
    </w:p>
    <w:p>
      <w:pPr>
        <w:pStyle w:val="Nivel2"/>
        <w:numPr>
          <w:ilvl w:val="0"/>
          <w:numId w:val="24"/>
        </w:numPr>
        <w:spacing w:lineRule="auto" w:line="312" w:before="0" w:after="0"/>
        <w:rPr>
          <w:sz w:val="18"/>
          <w:szCs w:val="18"/>
        </w:rPr>
      </w:pPr>
      <w:r>
        <w:rPr>
          <w:sz w:val="18"/>
          <w:szCs w:val="18"/>
        </w:rPr>
        <w:t xml:space="preserve">CRLV; </w:t>
      </w:r>
    </w:p>
    <w:p>
      <w:pPr>
        <w:pStyle w:val="Nivel2"/>
        <w:numPr>
          <w:ilvl w:val="0"/>
          <w:numId w:val="24"/>
        </w:numPr>
        <w:spacing w:lineRule="auto" w:line="312" w:before="0" w:after="0"/>
        <w:rPr>
          <w:sz w:val="18"/>
          <w:szCs w:val="18"/>
        </w:rPr>
      </w:pPr>
      <w:r>
        <w:rPr>
          <w:sz w:val="18"/>
          <w:szCs w:val="18"/>
        </w:rPr>
        <w:t xml:space="preserve">Licenciamento; </w:t>
      </w:r>
    </w:p>
    <w:p>
      <w:pPr>
        <w:pStyle w:val="Nivel2"/>
        <w:numPr>
          <w:ilvl w:val="0"/>
          <w:numId w:val="24"/>
        </w:numPr>
        <w:spacing w:lineRule="auto" w:line="312" w:before="0" w:after="0"/>
        <w:rPr>
          <w:sz w:val="18"/>
          <w:szCs w:val="18"/>
        </w:rPr>
      </w:pPr>
      <w:r>
        <w:rPr>
          <w:sz w:val="18"/>
          <w:szCs w:val="18"/>
        </w:rPr>
        <w:t xml:space="preserve">Autorização para Transporte Escolar; </w:t>
      </w:r>
    </w:p>
    <w:p>
      <w:pPr>
        <w:pStyle w:val="Nivel2"/>
        <w:numPr>
          <w:ilvl w:val="0"/>
          <w:numId w:val="24"/>
        </w:numPr>
        <w:spacing w:lineRule="auto" w:line="312" w:before="0" w:after="0"/>
        <w:rPr>
          <w:sz w:val="18"/>
          <w:szCs w:val="18"/>
        </w:rPr>
      </w:pPr>
      <w:r>
        <w:rPr>
          <w:sz w:val="18"/>
          <w:szCs w:val="18"/>
        </w:rPr>
        <w:t xml:space="preserve">Certificado de Vistoria; </w:t>
      </w:r>
    </w:p>
    <w:p>
      <w:pPr>
        <w:pStyle w:val="Nivel2"/>
        <w:numPr>
          <w:ilvl w:val="0"/>
          <w:numId w:val="24"/>
        </w:numPr>
        <w:spacing w:lineRule="auto" w:line="312" w:before="0" w:after="0"/>
        <w:rPr>
          <w:sz w:val="18"/>
          <w:szCs w:val="18"/>
        </w:rPr>
      </w:pPr>
      <w:r>
        <w:rPr>
          <w:sz w:val="18"/>
          <w:szCs w:val="18"/>
        </w:rPr>
        <w:t xml:space="preserve">Seguro obrigatório e demais seguros exigidos; </w:t>
      </w:r>
    </w:p>
    <w:p>
      <w:pPr>
        <w:pStyle w:val="Nivel2"/>
        <w:numPr>
          <w:ilvl w:val="0"/>
          <w:numId w:val="24"/>
        </w:numPr>
        <w:spacing w:lineRule="auto" w:line="312" w:before="0" w:after="0"/>
        <w:rPr>
          <w:sz w:val="18"/>
          <w:szCs w:val="18"/>
        </w:rPr>
      </w:pPr>
      <w:r>
        <w:rPr>
          <w:sz w:val="18"/>
          <w:szCs w:val="18"/>
        </w:rPr>
        <w:t xml:space="preserve">Tacógrafo regularizado; </w:t>
      </w:r>
    </w:p>
    <w:p>
      <w:pPr>
        <w:pStyle w:val="Nivel2"/>
        <w:numPr>
          <w:ilvl w:val="0"/>
          <w:numId w:val="24"/>
        </w:numPr>
        <w:spacing w:lineRule="auto" w:line="312" w:before="0" w:after="0"/>
        <w:rPr>
          <w:sz w:val="18"/>
          <w:szCs w:val="18"/>
        </w:rPr>
      </w:pPr>
      <w:r>
        <w:rPr>
          <w:sz w:val="18"/>
          <w:szCs w:val="18"/>
        </w:rPr>
        <w:t xml:space="preserve">Equipamentos obrigatórios; </w:t>
      </w:r>
    </w:p>
    <w:p>
      <w:pPr>
        <w:pStyle w:val="Nivel2"/>
        <w:numPr>
          <w:ilvl w:val="0"/>
          <w:numId w:val="24"/>
        </w:numPr>
        <w:spacing w:lineRule="auto" w:line="312" w:before="0" w:after="0"/>
        <w:rPr>
          <w:sz w:val="18"/>
          <w:szCs w:val="18"/>
        </w:rPr>
      </w:pPr>
      <w:r>
        <w:rPr>
          <w:sz w:val="18"/>
          <w:szCs w:val="18"/>
        </w:rPr>
        <w:t xml:space="preserve">Faixa escolar; </w:t>
      </w:r>
    </w:p>
    <w:p>
      <w:pPr>
        <w:pStyle w:val="Nivel2"/>
        <w:numPr>
          <w:ilvl w:val="0"/>
          <w:numId w:val="24"/>
        </w:numPr>
        <w:spacing w:lineRule="auto" w:line="312" w:before="0" w:after="0"/>
        <w:rPr>
          <w:sz w:val="18"/>
          <w:szCs w:val="18"/>
        </w:rPr>
      </w:pPr>
      <w:r>
        <w:rPr>
          <w:sz w:val="18"/>
          <w:szCs w:val="18"/>
        </w:rPr>
        <w:t xml:space="preserve">demais documentos exigidos pela legislação. </w:t>
      </w:r>
    </w:p>
    <w:p>
      <w:pPr>
        <w:pStyle w:val="Nivel2"/>
        <w:numPr>
          <w:ilvl w:val="0"/>
          <w:numId w:val="0"/>
        </w:numPr>
        <w:spacing w:lineRule="auto" w:line="312" w:before="0" w:after="0"/>
        <w:ind w:hanging="0" w:left="0"/>
        <w:rPr>
          <w:sz w:val="18"/>
          <w:szCs w:val="18"/>
        </w:rPr>
      </w:pPr>
      <w:r>
        <w:rPr>
          <w:sz w:val="18"/>
          <w:szCs w:val="18"/>
        </w:rPr>
      </w:r>
    </w:p>
    <w:p>
      <w:pPr>
        <w:pStyle w:val="Nivel2"/>
        <w:numPr>
          <w:ilvl w:val="0"/>
          <w:numId w:val="0"/>
        </w:numPr>
        <w:spacing w:lineRule="auto" w:line="312" w:before="0" w:after="0"/>
        <w:ind w:hanging="0" w:left="0"/>
        <w:rPr>
          <w:sz w:val="18"/>
          <w:szCs w:val="18"/>
        </w:rPr>
      </w:pPr>
      <w:r>
        <w:rPr>
          <w:sz w:val="18"/>
          <w:szCs w:val="18"/>
        </w:rPr>
        <w:t>15 - ESTIMATIVAS DO VALOR DA CONTRATAÇÃO</w:t>
      </w:r>
    </w:p>
    <w:p>
      <w:pPr>
        <w:pStyle w:val="Nivel01"/>
        <w:numPr>
          <w:ilvl w:val="0"/>
          <w:numId w:val="0"/>
        </w:numPr>
        <w:spacing w:lineRule="auto" w:line="240" w:before="0" w:after="174"/>
        <w:ind w:hanging="0" w:left="0"/>
        <w:rPr>
          <w:color w:val="000000"/>
          <w:sz w:val="18"/>
          <w:szCs w:val="18"/>
        </w:rPr>
      </w:pPr>
      <w:r>
        <w:rPr>
          <w:b w:val="false"/>
          <w:bCs w:val="false"/>
          <w:color w:val="000000"/>
          <w:sz w:val="18"/>
          <w:szCs w:val="18"/>
        </w:rPr>
        <w:t>15.1 - O custo estimado total da contratação é de R$ 729.400,00.</w:t>
      </w:r>
    </w:p>
    <w:p>
      <w:pPr>
        <w:pStyle w:val="Nivel1"/>
        <w:tabs>
          <w:tab w:val="clear" w:pos="708"/>
          <w:tab w:val="left" w:pos="284" w:leader="none"/>
          <w:tab w:val="left" w:pos="426" w:leader="none"/>
          <w:tab w:val="left" w:pos="567" w:leader="none"/>
          <w:tab w:val="left" w:pos="851" w:leader="none"/>
        </w:tabs>
        <w:spacing w:lineRule="auto" w:line="312" w:before="0" w:after="0"/>
        <w:ind w:hanging="0" w:left="0"/>
        <w:rPr>
          <w:color w:val="auto"/>
          <w:sz w:val="18"/>
          <w:szCs w:val="18"/>
        </w:rPr>
      </w:pPr>
      <w:r>
        <w:rPr>
          <w:color w:val="auto"/>
          <w:sz w:val="18"/>
          <w:szCs w:val="18"/>
        </w:rPr>
        <w:t xml:space="preserve">16 - DOTAÇÃO ORÇAMENTÁRIA </w:t>
      </w:r>
    </w:p>
    <w:p>
      <w:pPr>
        <w:pStyle w:val="Normal"/>
        <w:tabs>
          <w:tab w:val="clear" w:pos="708"/>
          <w:tab w:val="left" w:pos="426" w:leader="none"/>
        </w:tabs>
        <w:spacing w:lineRule="auto" w:line="312"/>
        <w:jc w:val="both"/>
        <w:rPr>
          <w:rFonts w:ascii="Arial" w:hAnsi="Arial" w:eastAsia="Calibri" w:cs="Arial"/>
          <w:iCs/>
          <w:sz w:val="18"/>
          <w:szCs w:val="18"/>
          <w:lang w:eastAsia="en-US"/>
        </w:rPr>
      </w:pPr>
      <w:r>
        <w:rPr>
          <w:rFonts w:cs="Arial" w:ascii="Arial" w:hAnsi="Arial"/>
          <w:sz w:val="18"/>
          <w:szCs w:val="18"/>
        </w:rPr>
        <w:t xml:space="preserve">16.1 - </w:t>
      </w:r>
      <w:r>
        <w:rPr>
          <w:rFonts w:eastAsia="Calibri" w:cs="Arial" w:ascii="Arial" w:hAnsi="Arial"/>
          <w:sz w:val="18"/>
          <w:szCs w:val="18"/>
          <w:lang w:eastAsia="en-US"/>
        </w:rPr>
        <w:t>As classificações orçamentárias para suportar a presente despesa constam da programação orçamentária da Secretaria Municipal de Educação e Cultura:</w:t>
      </w:r>
    </w:p>
    <w:p>
      <w:pPr>
        <w:pStyle w:val="Normal"/>
        <w:tabs>
          <w:tab w:val="clear" w:pos="708"/>
          <w:tab w:val="left" w:pos="426" w:leader="none"/>
        </w:tabs>
        <w:spacing w:lineRule="auto" w:line="312"/>
        <w:jc w:val="both"/>
        <w:rPr>
          <w:rFonts w:ascii="Arial" w:hAnsi="Arial" w:eastAsia="Calibri" w:cs="Arial"/>
          <w:b/>
          <w:bCs/>
          <w:i/>
          <w:sz w:val="18"/>
          <w:szCs w:val="18"/>
        </w:rPr>
      </w:pPr>
      <w:r>
        <w:rPr>
          <w:rFonts w:eastAsia="Calibri" w:cs="Arial" w:ascii="Arial" w:hAnsi="Arial"/>
          <w:b/>
          <w:bCs/>
          <w:i/>
          <w:iCs/>
          <w:sz w:val="18"/>
          <w:szCs w:val="18"/>
          <w:lang w:eastAsia="en-US"/>
        </w:rPr>
        <w:t xml:space="preserve">Acessos: 168, 170, 315 e 328 </w:t>
      </w:r>
    </w:p>
    <w:p>
      <w:pPr>
        <w:pStyle w:val="Normal"/>
        <w:tabs>
          <w:tab w:val="clear" w:pos="708"/>
          <w:tab w:val="left" w:pos="426" w:leader="none"/>
        </w:tabs>
        <w:spacing w:lineRule="auto" w:line="312"/>
        <w:jc w:val="both"/>
        <w:rPr>
          <w:rFonts w:ascii="Arial" w:hAnsi="Arial" w:eastAsia="Calibri" w:cs="Arial"/>
          <w:b/>
          <w:bCs/>
          <w:i/>
          <w:sz w:val="18"/>
          <w:szCs w:val="18"/>
        </w:rPr>
      </w:pPr>
      <w:r>
        <w:rPr>
          <w:rFonts w:eastAsia="Calibri" w:cs="Arial" w:ascii="Arial" w:hAnsi="Arial"/>
          <w:b/>
          <w:bCs/>
          <w:i/>
          <w:iCs/>
          <w:sz w:val="18"/>
          <w:szCs w:val="18"/>
          <w:lang w:eastAsia="en-US"/>
        </w:rPr>
        <w:t xml:space="preserve">Projetos: 2068 e 2069 </w:t>
      </w:r>
    </w:p>
    <w:p>
      <w:pPr>
        <w:pStyle w:val="Normal"/>
        <w:tabs>
          <w:tab w:val="clear" w:pos="708"/>
          <w:tab w:val="left" w:pos="426" w:leader="none"/>
        </w:tabs>
        <w:spacing w:lineRule="auto" w:line="312"/>
        <w:jc w:val="both"/>
        <w:rPr>
          <w:rFonts w:ascii="Arial" w:hAnsi="Arial" w:cs="Arial"/>
          <w:b/>
          <w:bCs/>
          <w:i/>
          <w:sz w:val="18"/>
          <w:szCs w:val="18"/>
        </w:rPr>
      </w:pPr>
      <w:r>
        <w:rPr>
          <w:rFonts w:eastAsia="Calibri" w:cs="Arial" w:ascii="Arial" w:hAnsi="Arial"/>
          <w:b/>
          <w:bCs/>
          <w:i/>
          <w:iCs/>
          <w:sz w:val="18"/>
          <w:szCs w:val="18"/>
          <w:lang w:eastAsia="en-US"/>
        </w:rPr>
        <w:t>Despesas: 3390 39</w:t>
      </w:r>
    </w:p>
    <w:p>
      <w:pPr>
        <w:pStyle w:val="Normal"/>
        <w:tabs>
          <w:tab w:val="clear" w:pos="708"/>
          <w:tab w:val="left" w:pos="284" w:leader="none"/>
          <w:tab w:val="left" w:pos="426" w:leader="none"/>
          <w:tab w:val="left" w:pos="567" w:leader="none"/>
          <w:tab w:val="left" w:pos="851" w:leader="none"/>
        </w:tabs>
        <w:spacing w:lineRule="auto" w:line="312"/>
        <w:jc w:val="right"/>
        <w:rPr>
          <w:rFonts w:ascii="Arial" w:hAnsi="Arial" w:cs="Arial"/>
          <w:iCs/>
          <w:sz w:val="18"/>
          <w:szCs w:val="18"/>
        </w:rPr>
      </w:pPr>
      <w:r>
        <w:rPr>
          <w:rFonts w:cs="Arial" w:ascii="Arial" w:hAnsi="Arial"/>
          <w:iCs/>
          <w:sz w:val="18"/>
          <w:szCs w:val="18"/>
        </w:rPr>
      </w:r>
    </w:p>
    <w:p>
      <w:pPr>
        <w:pStyle w:val="Normal"/>
        <w:tabs>
          <w:tab w:val="clear" w:pos="708"/>
          <w:tab w:val="left" w:pos="284" w:leader="none"/>
          <w:tab w:val="left" w:pos="426" w:leader="none"/>
          <w:tab w:val="left" w:pos="567" w:leader="none"/>
          <w:tab w:val="left" w:pos="851" w:leader="none"/>
        </w:tabs>
        <w:spacing w:lineRule="auto" w:line="312"/>
        <w:jc w:val="right"/>
        <w:rPr>
          <w:rFonts w:ascii="Arial" w:hAnsi="Arial" w:cs="Arial"/>
          <w:iCs/>
          <w:sz w:val="18"/>
          <w:szCs w:val="18"/>
        </w:rPr>
      </w:pPr>
      <w:r>
        <w:rPr>
          <w:rFonts w:cs="Arial" w:ascii="Arial" w:hAnsi="Arial"/>
          <w:iCs/>
          <w:sz w:val="18"/>
          <w:szCs w:val="18"/>
        </w:rPr>
      </w:r>
    </w:p>
    <w:p>
      <w:pPr>
        <w:pStyle w:val="Normal"/>
        <w:tabs>
          <w:tab w:val="clear" w:pos="708"/>
          <w:tab w:val="left" w:pos="284" w:leader="none"/>
          <w:tab w:val="left" w:pos="426" w:leader="none"/>
          <w:tab w:val="left" w:pos="567" w:leader="none"/>
          <w:tab w:val="left" w:pos="851" w:leader="none"/>
        </w:tabs>
        <w:spacing w:lineRule="auto" w:line="312"/>
        <w:jc w:val="right"/>
        <w:rPr>
          <w:rFonts w:ascii="Arial" w:hAnsi="Arial" w:cs="Arial"/>
          <w:iCs/>
          <w:sz w:val="18"/>
          <w:szCs w:val="18"/>
        </w:rPr>
      </w:pPr>
      <w:r>
        <w:rPr>
          <w:rFonts w:cs="Arial" w:ascii="Arial" w:hAnsi="Arial"/>
          <w:iCs/>
          <w:sz w:val="18"/>
          <w:szCs w:val="18"/>
        </w:rPr>
      </w:r>
    </w:p>
    <w:p>
      <w:pPr>
        <w:pStyle w:val="Normal"/>
        <w:tabs>
          <w:tab w:val="clear" w:pos="708"/>
          <w:tab w:val="left" w:pos="284" w:leader="none"/>
          <w:tab w:val="left" w:pos="426" w:leader="none"/>
          <w:tab w:val="left" w:pos="567" w:leader="none"/>
          <w:tab w:val="left" w:pos="851" w:leader="none"/>
        </w:tabs>
        <w:spacing w:lineRule="auto" w:line="312"/>
        <w:jc w:val="right"/>
        <w:rPr>
          <w:rFonts w:ascii="Arial" w:hAnsi="Arial" w:cs="Arial"/>
          <w:sz w:val="18"/>
          <w:szCs w:val="18"/>
        </w:rPr>
      </w:pPr>
      <w:r>
        <w:rPr>
          <w:rFonts w:cs="Arial" w:ascii="Arial" w:hAnsi="Arial"/>
          <w:iCs/>
          <w:sz w:val="18"/>
          <w:szCs w:val="18"/>
        </w:rPr>
        <w:t>Santa Bárbara do Sul/RS, 10 de julho de 2026.</w:t>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center"/>
        <w:rPr>
          <w:rFonts w:ascii="Arial" w:hAnsi="Arial" w:cs="Arial"/>
          <w:i/>
          <w:iCs/>
          <w:sz w:val="18"/>
          <w:szCs w:val="18"/>
        </w:rPr>
      </w:pPr>
      <w:r>
        <w:rPr>
          <w:rFonts w:cs="Arial" w:ascii="Arial" w:hAnsi="Arial"/>
          <w:i/>
          <w:iCs/>
          <w:sz w:val="18"/>
          <w:szCs w:val="18"/>
        </w:rPr>
        <w:t xml:space="preserve">Andrea Bóllico Saratti </w:t>
      </w:r>
    </w:p>
    <w:p>
      <w:pPr>
        <w:pStyle w:val="Normal"/>
        <w:jc w:val="center"/>
        <w:rPr>
          <w:rFonts w:ascii="Arial" w:hAnsi="Arial" w:cs="Arial"/>
          <w:i/>
          <w:iCs/>
          <w:sz w:val="18"/>
          <w:szCs w:val="18"/>
        </w:rPr>
      </w:pPr>
      <w:r>
        <w:rPr>
          <w:rFonts w:cs="Arial" w:ascii="Arial" w:hAnsi="Arial"/>
          <w:i/>
          <w:iCs/>
          <w:sz w:val="18"/>
          <w:szCs w:val="18"/>
        </w:rPr>
        <w:t>Secretária de Educação e Cultura</w:t>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center"/>
        <w:rPr>
          <w:rFonts w:ascii="Arial" w:hAnsi="Arial" w:cs="Arial"/>
          <w:b/>
          <w:bCs/>
          <w:sz w:val="18"/>
          <w:szCs w:val="18"/>
        </w:rPr>
      </w:pPr>
      <w:r>
        <w:rPr>
          <w:rFonts w:cs="Arial" w:ascii="Arial" w:hAnsi="Arial"/>
          <w:b/>
          <w:bCs/>
          <w:sz w:val="18"/>
          <w:szCs w:val="18"/>
        </w:rPr>
        <w:t>ANEXO II</w:t>
      </w:r>
    </w:p>
    <w:p>
      <w:pPr>
        <w:pStyle w:val="Normal"/>
        <w:jc w:val="center"/>
        <w:rPr>
          <w:rFonts w:ascii="Arial" w:hAnsi="Arial" w:cs="Arial"/>
          <w:sz w:val="18"/>
          <w:szCs w:val="18"/>
        </w:rPr>
      </w:pPr>
      <w:r>
        <w:rPr>
          <w:rFonts w:cs="Arial" w:ascii="Arial" w:hAnsi="Arial"/>
          <w:b/>
          <w:sz w:val="18"/>
          <w:szCs w:val="18"/>
        </w:rPr>
        <w:t>PROPOSTA FINANCEIRA</w:t>
      </w:r>
    </w:p>
    <w:tbl>
      <w:tblPr>
        <w:tblW w:w="9921" w:type="dxa"/>
        <w:jc w:val="left"/>
        <w:tblInd w:w="70" w:type="dxa"/>
        <w:tblLayout w:type="fixed"/>
        <w:tblCellMar>
          <w:top w:w="0" w:type="dxa"/>
          <w:left w:w="70" w:type="dxa"/>
          <w:bottom w:w="0" w:type="dxa"/>
          <w:right w:w="70" w:type="dxa"/>
        </w:tblCellMar>
        <w:tblLook w:val="04a0" w:firstRow="1" w:noVBand="1" w:lastRow="0" w:firstColumn="1" w:lastColumn="0" w:noHBand="0"/>
      </w:tblPr>
      <w:tblGrid>
        <w:gridCol w:w="4062"/>
        <w:gridCol w:w="2970"/>
        <w:gridCol w:w="2889"/>
      </w:tblGrid>
      <w:tr>
        <w:trPr/>
        <w:tc>
          <w:tcPr>
            <w:tcW w:w="9921" w:type="dxa"/>
            <w:gridSpan w:val="3"/>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Arial" w:hAnsi="Arial" w:cs="Arial"/>
                <w:bCs/>
                <w:sz w:val="18"/>
                <w:szCs w:val="18"/>
              </w:rPr>
            </w:pPr>
            <w:r>
              <w:rPr>
                <w:rFonts w:cs="Arial" w:ascii="Arial" w:hAnsi="Arial"/>
                <w:b/>
                <w:sz w:val="18"/>
                <w:szCs w:val="18"/>
              </w:rPr>
              <w:t>Fornecedor:</w:t>
            </w:r>
          </w:p>
        </w:tc>
      </w:tr>
      <w:tr>
        <w:trPr/>
        <w:tc>
          <w:tcPr>
            <w:tcW w:w="9921" w:type="dxa"/>
            <w:gridSpan w:val="3"/>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Arial" w:hAnsi="Arial" w:cs="Arial"/>
                <w:bCs/>
                <w:sz w:val="18"/>
                <w:szCs w:val="18"/>
              </w:rPr>
            </w:pPr>
            <w:r>
              <w:rPr>
                <w:rFonts w:cs="Arial" w:ascii="Arial" w:hAnsi="Arial"/>
                <w:b/>
                <w:sz w:val="18"/>
                <w:szCs w:val="18"/>
              </w:rPr>
              <w:t>Endereço:</w:t>
            </w:r>
          </w:p>
        </w:tc>
      </w:tr>
      <w:tr>
        <w:trPr/>
        <w:tc>
          <w:tcPr>
            <w:tcW w:w="7032"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Arial" w:hAnsi="Arial" w:cs="Arial"/>
                <w:bCs/>
                <w:sz w:val="18"/>
                <w:szCs w:val="18"/>
              </w:rPr>
            </w:pPr>
            <w:r>
              <w:rPr>
                <w:rFonts w:cs="Arial" w:ascii="Arial" w:hAnsi="Arial"/>
                <w:b/>
                <w:sz w:val="18"/>
                <w:szCs w:val="18"/>
              </w:rPr>
              <w:t>Cidade:</w:t>
            </w:r>
          </w:p>
        </w:tc>
        <w:tc>
          <w:tcPr>
            <w:tcW w:w="2889"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Arial" w:hAnsi="Arial" w:cs="Arial"/>
                <w:bCs/>
                <w:sz w:val="18"/>
                <w:szCs w:val="18"/>
              </w:rPr>
            </w:pPr>
            <w:r>
              <w:rPr>
                <w:rFonts w:cs="Arial" w:ascii="Arial" w:hAnsi="Arial"/>
                <w:b/>
                <w:sz w:val="18"/>
                <w:szCs w:val="18"/>
              </w:rPr>
              <w:t>Estado:</w:t>
            </w:r>
          </w:p>
        </w:tc>
      </w:tr>
      <w:tr>
        <w:trPr/>
        <w:tc>
          <w:tcPr>
            <w:tcW w:w="4062"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Arial" w:hAnsi="Arial" w:cs="Arial"/>
                <w:bCs/>
                <w:sz w:val="18"/>
                <w:szCs w:val="18"/>
              </w:rPr>
            </w:pPr>
            <w:r>
              <w:rPr>
                <w:rFonts w:cs="Arial" w:ascii="Arial" w:hAnsi="Arial"/>
                <w:b/>
                <w:sz w:val="18"/>
                <w:szCs w:val="18"/>
              </w:rPr>
              <w:t>CNPJ:</w:t>
            </w:r>
          </w:p>
        </w:tc>
        <w:tc>
          <w:tcPr>
            <w:tcW w:w="5859"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Arial" w:hAnsi="Arial" w:cs="Arial"/>
                <w:bCs/>
                <w:sz w:val="18"/>
                <w:szCs w:val="18"/>
              </w:rPr>
            </w:pPr>
            <w:r>
              <w:rPr>
                <w:rFonts w:cs="Arial" w:ascii="Arial" w:hAnsi="Arial"/>
                <w:b/>
                <w:sz w:val="18"/>
                <w:szCs w:val="18"/>
              </w:rPr>
              <w:t>Inscrição Estadual:</w:t>
            </w:r>
          </w:p>
        </w:tc>
      </w:tr>
      <w:tr>
        <w:trPr/>
        <w:tc>
          <w:tcPr>
            <w:tcW w:w="4062"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Arial" w:hAnsi="Arial" w:cs="Arial"/>
                <w:bCs/>
                <w:sz w:val="18"/>
                <w:szCs w:val="18"/>
              </w:rPr>
            </w:pPr>
            <w:r>
              <w:rPr>
                <w:rFonts w:cs="Arial" w:ascii="Arial" w:hAnsi="Arial"/>
                <w:b/>
                <w:sz w:val="18"/>
                <w:szCs w:val="18"/>
              </w:rPr>
              <w:t>Banco:</w:t>
            </w:r>
          </w:p>
        </w:tc>
        <w:tc>
          <w:tcPr>
            <w:tcW w:w="5859"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Arial" w:hAnsi="Arial" w:cs="Arial"/>
                <w:bCs/>
                <w:sz w:val="18"/>
                <w:szCs w:val="18"/>
              </w:rPr>
            </w:pPr>
            <w:r>
              <w:rPr>
                <w:rFonts w:cs="Arial" w:ascii="Arial" w:hAnsi="Arial"/>
                <w:b/>
                <w:sz w:val="18"/>
                <w:szCs w:val="18"/>
              </w:rPr>
              <w:t>Agência:</w:t>
            </w:r>
          </w:p>
        </w:tc>
      </w:tr>
      <w:tr>
        <w:trPr/>
        <w:tc>
          <w:tcPr>
            <w:tcW w:w="9921" w:type="dxa"/>
            <w:gridSpan w:val="3"/>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Arial" w:hAnsi="Arial" w:cs="Arial"/>
                <w:bCs/>
                <w:sz w:val="18"/>
                <w:szCs w:val="18"/>
              </w:rPr>
            </w:pPr>
            <w:r>
              <w:rPr>
                <w:rFonts w:cs="Arial" w:ascii="Arial" w:hAnsi="Arial"/>
                <w:b/>
                <w:sz w:val="18"/>
                <w:szCs w:val="18"/>
              </w:rPr>
              <w:t>C.C:</w:t>
            </w:r>
          </w:p>
        </w:tc>
      </w:tr>
    </w:tbl>
    <w:p>
      <w:pPr>
        <w:pStyle w:val="Normal"/>
        <w:tabs>
          <w:tab w:val="clear" w:pos="708"/>
          <w:tab w:val="left" w:pos="792" w:leader="none"/>
        </w:tabs>
        <w:jc w:val="both"/>
        <w:rPr>
          <w:rFonts w:ascii="Arial" w:hAnsi="Arial" w:cs="Arial"/>
          <w:sz w:val="18"/>
          <w:szCs w:val="18"/>
        </w:rPr>
      </w:pPr>
      <w:r>
        <w:rPr>
          <w:rFonts w:cs="Arial" w:ascii="Arial" w:hAnsi="Arial"/>
          <w:sz w:val="18"/>
          <w:szCs w:val="18"/>
        </w:rPr>
      </w:r>
    </w:p>
    <w:tbl>
      <w:tblPr>
        <w:tblW w:w="9923" w:type="dxa"/>
        <w:jc w:val="left"/>
        <w:tblInd w:w="70" w:type="dxa"/>
        <w:tblLayout w:type="fixed"/>
        <w:tblCellMar>
          <w:top w:w="0" w:type="dxa"/>
          <w:left w:w="70" w:type="dxa"/>
          <w:bottom w:w="0" w:type="dxa"/>
          <w:right w:w="70" w:type="dxa"/>
        </w:tblCellMar>
        <w:tblLook w:val="04a0" w:firstRow="1" w:noVBand="1" w:lastRow="0" w:firstColumn="1" w:lastColumn="0" w:noHBand="0"/>
      </w:tblPr>
      <w:tblGrid>
        <w:gridCol w:w="9923"/>
      </w:tblGrid>
      <w:tr>
        <w:trPr>
          <w:trHeight w:val="192" w:hRule="atLeast"/>
        </w:trPr>
        <w:tc>
          <w:tcPr>
            <w:tcW w:w="9923" w:type="dxa"/>
            <w:tcBorders>
              <w:top w:val="single" w:sz="6" w:space="0" w:color="000000"/>
              <w:left w:val="single" w:sz="6" w:space="0" w:color="000000"/>
              <w:bottom w:val="single" w:sz="6" w:space="0" w:color="000000"/>
              <w:right w:val="single" w:sz="6" w:space="0" w:color="000000"/>
            </w:tcBorders>
          </w:tcPr>
          <w:p>
            <w:pPr>
              <w:pStyle w:val="Nivel2"/>
              <w:numPr>
                <w:ilvl w:val="0"/>
                <w:numId w:val="0"/>
              </w:numPr>
              <w:spacing w:lineRule="auto" w:line="240" w:before="0" w:after="0"/>
              <w:ind w:hanging="0" w:left="0"/>
              <w:jc w:val="center"/>
              <w:rPr>
                <w:sz w:val="18"/>
                <w:szCs w:val="18"/>
              </w:rPr>
            </w:pPr>
            <w:r>
              <w:rPr>
                <w:b/>
                <w:bCs/>
              </w:rPr>
              <w:t>CONTRATAÇÃODE SERVIÇOS PROFISSIONAIS PARA REALIZAÇÃO DO TRANSPORTE ESCOLAR</w:t>
            </w:r>
          </w:p>
        </w:tc>
      </w:tr>
    </w:tbl>
    <w:p>
      <w:pPr>
        <w:pStyle w:val="Normal"/>
        <w:spacing w:lineRule="auto" w:line="312"/>
        <w:jc w:val="both"/>
        <w:rPr>
          <w:rFonts w:ascii="Arial" w:hAnsi="Arial" w:cs="Arial"/>
          <w:sz w:val="18"/>
          <w:szCs w:val="18"/>
        </w:rPr>
      </w:pPr>
      <w:r>
        <w:rPr>
          <w:rFonts w:cs="Arial" w:ascii="Arial" w:hAnsi="Arial"/>
          <w:sz w:val="18"/>
          <w:szCs w:val="18"/>
        </w:rPr>
      </w:r>
    </w:p>
    <w:tbl>
      <w:tblPr>
        <w:tblW w:w="9935" w:type="dxa"/>
        <w:jc w:val="left"/>
        <w:tblInd w:w="75" w:type="dxa"/>
        <w:tblLayout w:type="fixed"/>
        <w:tblCellMar>
          <w:top w:w="0" w:type="dxa"/>
          <w:left w:w="70" w:type="dxa"/>
          <w:bottom w:w="0" w:type="dxa"/>
          <w:right w:w="70" w:type="dxa"/>
        </w:tblCellMar>
        <w:tblLook w:val="04a0" w:firstRow="1" w:noVBand="1" w:lastRow="0" w:firstColumn="1" w:lastColumn="0" w:noHBand="0"/>
      </w:tblPr>
      <w:tblGrid>
        <w:gridCol w:w="431"/>
        <w:gridCol w:w="7074"/>
        <w:gridCol w:w="712"/>
        <w:gridCol w:w="584"/>
        <w:gridCol w:w="1134"/>
      </w:tblGrid>
      <w:tr>
        <w:trPr>
          <w:trHeight w:val="309" w:hRule="atLeast"/>
        </w:trPr>
        <w:tc>
          <w:tcPr>
            <w:tcW w:w="431" w:type="dxa"/>
            <w:tcBorders>
              <w:top w:val="single" w:sz="4" w:space="0" w:color="000000"/>
              <w:left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Arial" w:hAnsi="Arial" w:eastAsia="Times New Roman" w:cs="Arial"/>
                <w:b/>
                <w:bCs/>
                <w:color w:val="000000"/>
                <w:sz w:val="14"/>
                <w:szCs w:val="14"/>
              </w:rPr>
            </w:pPr>
            <w:r>
              <w:rPr>
                <w:rFonts w:eastAsia="Times New Roman" w:cs="Arial" w:ascii="Arial" w:hAnsi="Arial"/>
                <w:b/>
                <w:bCs/>
                <w:color w:val="000000"/>
                <w:sz w:val="14"/>
                <w:szCs w:val="14"/>
              </w:rPr>
              <w:t>Item</w:t>
            </w:r>
          </w:p>
        </w:tc>
        <w:tc>
          <w:tcPr>
            <w:tcW w:w="7074"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Arial" w:hAnsi="Arial" w:eastAsia="Times New Roman" w:cs="Arial"/>
                <w:b/>
                <w:bCs/>
                <w:color w:val="000000"/>
                <w:sz w:val="14"/>
                <w:szCs w:val="14"/>
              </w:rPr>
            </w:pPr>
            <w:r>
              <w:rPr>
                <w:rFonts w:eastAsia="Times New Roman" w:cs="Arial" w:ascii="Arial" w:hAnsi="Arial"/>
                <w:b/>
                <w:bCs/>
                <w:color w:val="000000"/>
                <w:sz w:val="14"/>
                <w:szCs w:val="14"/>
              </w:rPr>
              <w:t>Descrição</w:t>
            </w:r>
          </w:p>
        </w:tc>
        <w:tc>
          <w:tcPr>
            <w:tcW w:w="712"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Arial" w:hAnsi="Arial" w:eastAsia="Times New Roman" w:cs="Arial"/>
                <w:b/>
                <w:bCs/>
                <w:color w:val="000000"/>
                <w:sz w:val="14"/>
                <w:szCs w:val="14"/>
              </w:rPr>
            </w:pPr>
            <w:r>
              <w:rPr>
                <w:rFonts w:eastAsia="Times New Roman" w:cs="Arial" w:ascii="Arial" w:hAnsi="Arial"/>
                <w:b/>
                <w:bCs/>
                <w:color w:val="000000"/>
                <w:sz w:val="14"/>
                <w:szCs w:val="14"/>
              </w:rPr>
              <w:t>Unidade</w:t>
            </w:r>
          </w:p>
        </w:tc>
        <w:tc>
          <w:tcPr>
            <w:tcW w:w="584"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jc w:val="right"/>
              <w:rPr>
                <w:rFonts w:ascii="Arial" w:hAnsi="Arial" w:eastAsia="Times New Roman" w:cs="Arial"/>
                <w:b/>
                <w:bCs/>
                <w:color w:val="000000"/>
                <w:sz w:val="14"/>
                <w:szCs w:val="14"/>
              </w:rPr>
            </w:pPr>
            <w:r>
              <w:rPr>
                <w:rFonts w:eastAsia="Times New Roman" w:cs="Arial" w:ascii="Arial" w:hAnsi="Arial"/>
                <w:b/>
                <w:bCs/>
                <w:color w:val="000000"/>
                <w:sz w:val="14"/>
                <w:szCs w:val="14"/>
              </w:rPr>
              <w:t>Quant. Max.</w:t>
            </w:r>
          </w:p>
        </w:tc>
        <w:tc>
          <w:tcPr>
            <w:tcW w:w="1134"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jc w:val="right"/>
              <w:rPr>
                <w:rFonts w:ascii="Arial" w:hAnsi="Arial" w:eastAsia="Times New Roman" w:cs="Arial"/>
                <w:b/>
                <w:bCs/>
                <w:color w:val="000000"/>
                <w:sz w:val="14"/>
                <w:szCs w:val="14"/>
              </w:rPr>
            </w:pPr>
            <w:r>
              <w:rPr>
                <w:rFonts w:eastAsia="Times New Roman" w:cs="Arial" w:ascii="Arial" w:hAnsi="Arial"/>
                <w:b/>
                <w:bCs/>
                <w:color w:val="000000"/>
                <w:sz w:val="14"/>
                <w:szCs w:val="14"/>
              </w:rPr>
              <w:t>Preço Unit. Estimado</w:t>
            </w:r>
          </w:p>
        </w:tc>
      </w:tr>
      <w:tr>
        <w:trPr>
          <w:trHeight w:val="309" w:hRule="atLeast"/>
        </w:trPr>
        <w:tc>
          <w:tcPr>
            <w:tcW w:w="431"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uppressAutoHyphens w:val="false"/>
              <w:spacing w:before="0" w:after="4080"/>
              <w:rPr>
                <w:rFonts w:ascii="Arial" w:hAnsi="Arial" w:eastAsia="Times New Roman" w:cs="Arial"/>
                <w:color w:val="000000"/>
                <w:sz w:val="14"/>
                <w:szCs w:val="14"/>
              </w:rPr>
            </w:pPr>
            <w:r>
              <w:rPr>
                <w:rFonts w:eastAsia="Times New Roman" w:cs="Arial" w:ascii="Arial" w:hAnsi="Arial"/>
                <w:color w:val="000000"/>
                <w:sz w:val="14"/>
                <w:szCs w:val="14"/>
              </w:rPr>
              <w:t>1</w:t>
            </w:r>
          </w:p>
        </w:tc>
        <w:tc>
          <w:tcPr>
            <w:tcW w:w="7074" w:type="dxa"/>
            <w:tcBorders>
              <w:top w:val="single" w:sz="4" w:space="0" w:color="000000"/>
              <w:bottom w:val="single" w:sz="4" w:space="0" w:color="000000"/>
              <w:right w:val="single" w:sz="4" w:space="0" w:color="000000"/>
            </w:tcBorders>
            <w:shd w:color="auto" w:fill="auto" w:val="clear"/>
            <w:vAlign w:val="bottom"/>
          </w:tcPr>
          <w:p>
            <w:pPr>
              <w:pStyle w:val="Normal"/>
              <w:suppressAutoHyphens w:val="false"/>
              <w:rPr>
                <w:rFonts w:ascii="Arial" w:hAnsi="Arial" w:eastAsia="Times New Roman" w:cs="Arial"/>
                <w:b/>
                <w:bCs/>
                <w:color w:val="000000"/>
                <w:sz w:val="14"/>
                <w:szCs w:val="14"/>
              </w:rPr>
            </w:pPr>
            <w:r>
              <w:rPr>
                <w:rFonts w:eastAsia="Times New Roman" w:cs="Arial" w:ascii="Arial" w:hAnsi="Arial"/>
                <w:b/>
                <w:bCs/>
                <w:color w:val="000000"/>
                <w:sz w:val="14"/>
                <w:szCs w:val="14"/>
              </w:rPr>
              <w:t>PRESTAÇÃO DE SERVIÇO DE ACOLHIMENTO E LOGÍSTICA</w:t>
            </w:r>
          </w:p>
          <w:p>
            <w:pPr>
              <w:pStyle w:val="Normal"/>
              <w:suppressAutoHyphens w:val="false"/>
              <w:rPr>
                <w:rFonts w:ascii="Arial" w:hAnsi="Arial" w:eastAsia="Times New Roman" w:cs="Arial"/>
                <w:color w:val="000000"/>
                <w:sz w:val="14"/>
                <w:szCs w:val="14"/>
              </w:rPr>
            </w:pPr>
            <w:r>
              <w:rPr>
                <w:rFonts w:eastAsia="Times New Roman" w:cs="Arial" w:ascii="Arial" w:hAnsi="Arial"/>
                <w:color w:val="000000"/>
                <w:sz w:val="14"/>
                <w:szCs w:val="14"/>
              </w:rPr>
              <w:t>Contratação de empresa para Prestação de serviços de logística na área da saúde e acolhimento de pacientes aos munícipes.</w:t>
              <w:br/>
              <w:t xml:space="preserve">1. Disponibilização de Espaço Estruturas de acolhimento localizadas em endereços de fácil acesso na cidade de Passo Fundo, Porto Alegre e Erechim, com casas, acolhimento diurno e noturno. Funcionamento todos os dias da semana, 24 horas por dia, garantindo suporte contínuo para pacientes e familiares. </w:t>
              <w:br/>
              <w:t>2. Estrutura Física Mínima Banheiros com chuveiro, cozinha equipada e lavanderia, disponíveis para uso dos pacientes e acompanhantes. Condições adequadas para atendimento de pessoas em tratamento fora do domicílio, garantindo conforto e higiene e dignidade.</w:t>
              <w:br/>
              <w:t xml:space="preserve">3. Logística de documentos Serviços de Logística em saúde na cidade de Porto Alegre, Passo Fundo e Caxias do Sul: Buscar e devolver documentos de todo e qualquer lugar solicitado pelo Município, fazer a retirada de exames, laudos, receitas, requisições, encaminhamentos médicos e demais documentos pertinentes. </w:t>
              <w:br/>
              <w:t xml:space="preserve">4. Suporte aos Motoristas e Passageiros Prestação de suporte imediato a motoristas e passageiros em situações de impossibilidade de deslocamento, ocasionadas por avarias ou falhas nos veículos da Saúde. O atendimento abrange o município de Porto Alegre, assegurando agilidade na solução dos imprevistos e continuidade dos serviços de transporte em saúde. </w:t>
              <w:br/>
              <w:t xml:space="preserve">5. Apoio a Pacientes com Alta Hospitalar Realização do acolhimento e transporte de pacientes com alta hospitalar, provenientes de hospitais, casas de saúde e clínicas localizadas em Porto Alegre. A equipe é responsável por buscar o paciente, conduzi-lo até o local de acolhimento e garantir sua permanência segura até a chegada do transporte municipal. Quando necessário, é previsto pernoite com suporte assistencial, assegurando conforto e cuidado durante todo o processo de retorno residência. </w:t>
              <w:br/>
              <w:t xml:space="preserve">6. Pesquisa de avaliação e satisfação para todos os atendidos em tempo real. Implementação de um sistema de pesquisa de satisfação contínua, que permite aos usuários dos serviços avaliarem o atendimento recebido de forma imediata e digital. Essa ação garante o monitoramento em tempo real da qualidade dos serviços, promovendo melhorias constantes, maior transparência e a escuta ativa das necessidades da população atendida. </w:t>
              <w:br/>
              <w:t>7. Assessoria e Integração dos Serviços Desenvolvimento de uma assessoria técnica permanente para orientar e integrar os diferentes setores e programas municipais. O objetivo é fortalecer a comunicação entre as áreas, padronizar processos e promover uma atuação conjunta, eficiente e humanizada no atendimento população.</w:t>
              <w:br/>
              <w:t xml:space="preserve">8. Programa Cidade Acolhedora Criação e implementação do Programa Cidade Acolhedora, voltado ao reconhecimento de municípios que investem em acolhimento, humanização e qualidade nos serviços públicos. O lançamento será marcado pela entrega oficial do Selo Cidade Acolhedora, símbolo do compromisso com a boa gestão, empatia e valorização das pessoas. </w:t>
              <w:br/>
              <w:t xml:space="preserve">9. Workshop de Valorização do Servidor Evento voltado ao fortalecimento da equipe e valorização do papel de cada servidor público. O workshop contará com palestras motivacionais, dinâmicas de grupo e troca de experiências, promovendo engajamento, pertencimento e reforçando o compromisso com um serviço público de qualidade. </w:t>
              <w:br/>
              <w:t xml:space="preserve">10. Sistema Próprio de Monitoramento de Solicitações de Logística e Hospedagem Implantação de um sistema exclusivo de monitoramento, desenvolvido para acompanhar em tempo real todas as solicitações de logística e hospedagem realizadas pelos municípios. A ferramenta permite organizar, rastrear e otimizar o fluxo de atendimentos, garantindo maior agilidade, transparência e eficiência na gestão dos deslocamentos e hospedagens vinculadas aos serviços de saúde. O sistema também possibilita emissão de relatórios, controle de status das solicitações e comunicação direta com as equipes operacionais, fortalecendo a integração entre os setores e a qualidade do serviço prestado. </w:t>
              <w:br/>
              <w:t>11. Assessoria Técnica de Sistema Disponibilização de uma equipe especializada para oferecer assessoria técnica contínua aos municípios na utilização do sistema de monitoramento. Essa assessoria abrange orientação personalizada, treinamento de usuários e acompanhamento de desempenho da ferramenta, garantindo o uso eficiente dos recursos tecnológicos disponíveis. O serviço visa fortalecer a autonomia das equipes locais e aprimorar os processos de gestão logística e de hospedagem, com foco em resultados e inovação.</w:t>
            </w:r>
          </w:p>
        </w:tc>
        <w:tc>
          <w:tcPr>
            <w:tcW w:w="712" w:type="dxa"/>
            <w:tcBorders>
              <w:top w:val="single" w:sz="4" w:space="0" w:color="000000"/>
              <w:bottom w:val="single" w:sz="4" w:space="0" w:color="000000"/>
              <w:right w:val="single" w:sz="4" w:space="0" w:color="000000"/>
            </w:tcBorders>
            <w:shd w:color="auto" w:fill="auto" w:val="clear"/>
            <w:vAlign w:val="bottom"/>
          </w:tcPr>
          <w:p>
            <w:pPr>
              <w:pStyle w:val="Normal"/>
              <w:suppressAutoHyphens w:val="false"/>
              <w:spacing w:before="240" w:after="4080"/>
              <w:rPr>
                <w:rFonts w:ascii="Arial" w:hAnsi="Arial" w:eastAsia="Times New Roman" w:cs="Arial"/>
                <w:color w:val="000000"/>
                <w:sz w:val="14"/>
                <w:szCs w:val="14"/>
              </w:rPr>
            </w:pPr>
            <w:r>
              <w:rPr>
                <w:rFonts w:eastAsia="Times New Roman" w:cs="Arial" w:ascii="Arial" w:hAnsi="Arial"/>
                <w:color w:val="000000"/>
                <w:sz w:val="14"/>
                <w:szCs w:val="14"/>
              </w:rPr>
              <w:t>UN</w:t>
            </w:r>
          </w:p>
        </w:tc>
        <w:tc>
          <w:tcPr>
            <w:tcW w:w="584" w:type="dxa"/>
            <w:tcBorders>
              <w:top w:val="single" w:sz="4" w:space="0" w:color="000000"/>
              <w:bottom w:val="single" w:sz="4" w:space="0" w:color="000000"/>
              <w:right w:val="single" w:sz="4" w:space="0" w:color="000000"/>
            </w:tcBorders>
            <w:shd w:color="auto" w:fill="auto" w:val="clear"/>
            <w:vAlign w:val="bottom"/>
          </w:tcPr>
          <w:p>
            <w:pPr>
              <w:pStyle w:val="Normal"/>
              <w:suppressAutoHyphens w:val="false"/>
              <w:spacing w:before="240" w:after="4080"/>
              <w:jc w:val="right"/>
              <w:rPr>
                <w:rFonts w:ascii="Arial" w:hAnsi="Arial" w:eastAsia="Times New Roman" w:cs="Arial"/>
                <w:color w:val="000000"/>
                <w:sz w:val="14"/>
                <w:szCs w:val="14"/>
              </w:rPr>
            </w:pPr>
            <w:r>
              <w:rPr>
                <w:rFonts w:eastAsia="Times New Roman" w:cs="Arial" w:ascii="Arial" w:hAnsi="Arial"/>
                <w:color w:val="000000"/>
                <w:sz w:val="14"/>
                <w:szCs w:val="14"/>
              </w:rPr>
              <w:t>12</w:t>
            </w:r>
          </w:p>
        </w:tc>
        <w:tc>
          <w:tcPr>
            <w:tcW w:w="1134" w:type="dxa"/>
            <w:tcBorders>
              <w:top w:val="single" w:sz="4" w:space="0" w:color="000000"/>
              <w:bottom w:val="single" w:sz="4" w:space="0" w:color="000000"/>
              <w:right w:val="single" w:sz="4" w:space="0" w:color="000000"/>
            </w:tcBorders>
            <w:shd w:color="auto" w:fill="auto" w:val="clear"/>
            <w:vAlign w:val="bottom"/>
          </w:tcPr>
          <w:p>
            <w:pPr>
              <w:pStyle w:val="Normal"/>
              <w:suppressAutoHyphens w:val="false"/>
              <w:spacing w:before="240" w:after="4080"/>
              <w:jc w:val="right"/>
              <w:rPr>
                <w:rFonts w:ascii="Arial" w:hAnsi="Arial" w:eastAsia="Times New Roman" w:cs="Arial"/>
                <w:color w:val="000000"/>
                <w:sz w:val="14"/>
                <w:szCs w:val="14"/>
              </w:rPr>
            </w:pPr>
            <w:r>
              <w:rPr>
                <w:rFonts w:eastAsia="Times New Roman" w:cs="Arial" w:ascii="Arial" w:hAnsi="Arial"/>
                <w:color w:val="000000"/>
                <w:sz w:val="14"/>
                <w:szCs w:val="14"/>
              </w:rPr>
            </w:r>
          </w:p>
        </w:tc>
      </w:tr>
      <w:tr>
        <w:trPr>
          <w:trHeight w:val="283" w:hRule="atLeast"/>
        </w:trPr>
        <w:tc>
          <w:tcPr>
            <w:tcW w:w="8801"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uppressAutoHyphens w:val="false"/>
              <w:jc w:val="center"/>
              <w:rPr>
                <w:rFonts w:ascii="Arial" w:hAnsi="Arial" w:eastAsia="Times New Roman" w:cs="Arial"/>
                <w:color w:val="000000"/>
                <w:sz w:val="14"/>
                <w:szCs w:val="14"/>
              </w:rPr>
            </w:pPr>
            <w:r>
              <w:rPr>
                <w:rFonts w:eastAsia="Times New Roman" w:cs="Arial" w:ascii="Arial" w:hAnsi="Arial"/>
                <w:color w:val="000000"/>
                <w:sz w:val="14"/>
                <w:szCs w:val="14"/>
              </w:rPr>
              <w:t>TOTAL</w:t>
            </w:r>
          </w:p>
        </w:tc>
        <w:tc>
          <w:tcPr>
            <w:tcW w:w="1134" w:type="dxa"/>
            <w:tcBorders>
              <w:top w:val="single" w:sz="4" w:space="0" w:color="000000"/>
              <w:bottom w:val="single" w:sz="4" w:space="0" w:color="000000"/>
              <w:right w:val="single" w:sz="4" w:space="0" w:color="000000"/>
            </w:tcBorders>
            <w:shd w:color="auto" w:fill="auto" w:val="clear"/>
            <w:vAlign w:val="bottom"/>
          </w:tcPr>
          <w:p>
            <w:pPr>
              <w:pStyle w:val="Normal"/>
              <w:suppressAutoHyphens w:val="false"/>
              <w:jc w:val="right"/>
              <w:rPr>
                <w:rFonts w:ascii="Arial" w:hAnsi="Arial" w:eastAsia="Times New Roman" w:cs="Arial"/>
                <w:color w:val="000000"/>
                <w:sz w:val="14"/>
                <w:szCs w:val="14"/>
              </w:rPr>
            </w:pPr>
            <w:r>
              <w:rPr>
                <w:rFonts w:eastAsia="Times New Roman" w:cs="Arial" w:ascii="Arial" w:hAnsi="Arial"/>
                <w:color w:val="000000"/>
                <w:sz w:val="14"/>
                <w:szCs w:val="14"/>
              </w:rPr>
            </w:r>
          </w:p>
        </w:tc>
      </w:tr>
    </w:tbl>
    <w:p>
      <w:pPr>
        <w:pStyle w:val="Normal"/>
        <w:spacing w:lineRule="auto" w:line="312"/>
        <w:jc w:val="both"/>
        <w:rPr>
          <w:rFonts w:ascii="Arial" w:hAnsi="Arial" w:cs="Arial"/>
          <w:sz w:val="18"/>
          <w:szCs w:val="18"/>
        </w:rPr>
      </w:pPr>
      <w:r>
        <w:rPr>
          <w:rFonts w:cs="Arial" w:ascii="Arial" w:hAnsi="Arial"/>
          <w:sz w:val="18"/>
          <w:szCs w:val="18"/>
        </w:rPr>
      </w:r>
    </w:p>
    <w:tbl>
      <w:tblPr>
        <w:tblpPr w:vertAnchor="text" w:horzAnchor="margin" w:leftFromText="141" w:rightFromText="141" w:tblpX="0" w:tblpY="73"/>
        <w:tblW w:w="9645" w:type="dxa"/>
        <w:jc w:val="left"/>
        <w:tblInd w:w="71" w:type="dxa"/>
        <w:tblLayout w:type="fixed"/>
        <w:tblCellMar>
          <w:top w:w="0" w:type="dxa"/>
          <w:left w:w="71" w:type="dxa"/>
          <w:bottom w:w="0" w:type="dxa"/>
          <w:right w:w="71" w:type="dxa"/>
        </w:tblCellMar>
        <w:tblLook w:val="04a0" w:firstRow="1" w:noVBand="1" w:lastRow="0" w:firstColumn="1" w:lastColumn="0" w:noHBand="0"/>
      </w:tblPr>
      <w:tblGrid>
        <w:gridCol w:w="4960"/>
        <w:gridCol w:w="572"/>
        <w:gridCol w:w="4113"/>
      </w:tblGrid>
      <w:tr>
        <w:trPr>
          <w:trHeight w:val="2271" w:hRule="atLeast"/>
        </w:trPr>
        <w:tc>
          <w:tcPr>
            <w:tcW w:w="4960" w:type="dxa"/>
            <w:tcBorders/>
          </w:tcPr>
          <w:p>
            <w:pPr>
              <w:pStyle w:val="Normal"/>
              <w:widowControl w:val="false"/>
              <w:jc w:val="both"/>
              <w:rPr>
                <w:rFonts w:ascii="Arial" w:hAnsi="Arial" w:cs="Arial"/>
                <w:sz w:val="18"/>
                <w:szCs w:val="18"/>
              </w:rPr>
            </w:pPr>
            <w:r>
              <w:rPr>
                <w:rFonts w:cs="Arial" w:ascii="Arial" w:hAnsi="Arial"/>
                <w:sz w:val="18"/>
                <w:szCs w:val="18"/>
              </w:rPr>
            </w:r>
          </w:p>
          <w:p>
            <w:pPr>
              <w:pStyle w:val="Normal"/>
              <w:widowControl w:val="false"/>
              <w:jc w:val="both"/>
              <w:rPr>
                <w:rFonts w:ascii="Arial" w:hAnsi="Arial" w:cs="Arial"/>
                <w:sz w:val="18"/>
                <w:szCs w:val="18"/>
              </w:rPr>
            </w:pPr>
            <w:r>
              <w:rPr>
                <w:rFonts w:cs="Arial" w:ascii="Arial" w:hAnsi="Arial"/>
                <w:b/>
                <w:sz w:val="18"/>
                <w:szCs w:val="18"/>
                <w:shd w:fill="FFFFFF" w:val="clear"/>
              </w:rPr>
              <w:t>Validade da proposta: (mínimo 60 dias):______</w:t>
            </w:r>
          </w:p>
          <w:p>
            <w:pPr>
              <w:pStyle w:val="Normal"/>
              <w:widowControl w:val="false"/>
              <w:jc w:val="both"/>
              <w:rPr>
                <w:rFonts w:ascii="Arial" w:hAnsi="Arial" w:cs="Arial"/>
                <w:sz w:val="18"/>
                <w:szCs w:val="18"/>
              </w:rPr>
            </w:pPr>
            <w:r>
              <w:rPr>
                <w:rFonts w:cs="Arial" w:ascii="Arial" w:hAnsi="Arial"/>
                <w:sz w:val="18"/>
                <w:szCs w:val="18"/>
              </w:rPr>
            </w:r>
          </w:p>
          <w:p>
            <w:pPr>
              <w:pStyle w:val="Normal"/>
              <w:widowControl w:val="false"/>
              <w:jc w:val="both"/>
              <w:rPr>
                <w:rFonts w:ascii="Arial" w:hAnsi="Arial" w:cs="Arial"/>
                <w:sz w:val="18"/>
                <w:szCs w:val="18"/>
              </w:rPr>
            </w:pPr>
            <w:r>
              <w:rPr>
                <w:rFonts w:cs="Arial" w:ascii="Arial" w:hAnsi="Arial"/>
                <w:sz w:val="18"/>
                <w:szCs w:val="18"/>
              </w:rPr>
            </w:r>
          </w:p>
          <w:p>
            <w:pPr>
              <w:pStyle w:val="Normal"/>
              <w:widowControl w:val="false"/>
              <w:jc w:val="both"/>
              <w:rPr>
                <w:rFonts w:ascii="Arial" w:hAnsi="Arial" w:cs="Arial"/>
                <w:sz w:val="18"/>
                <w:szCs w:val="18"/>
              </w:rPr>
            </w:pPr>
            <w:r>
              <w:rPr>
                <w:rFonts w:cs="Arial" w:ascii="Arial" w:hAnsi="Arial"/>
                <w:sz w:val="18"/>
                <w:szCs w:val="18"/>
              </w:rPr>
            </w:r>
          </w:p>
          <w:p>
            <w:pPr>
              <w:pStyle w:val="Normal"/>
              <w:widowControl w:val="false"/>
              <w:jc w:val="both"/>
              <w:rPr>
                <w:rFonts w:ascii="Arial" w:hAnsi="Arial" w:cs="Arial"/>
                <w:sz w:val="18"/>
                <w:szCs w:val="18"/>
              </w:rPr>
            </w:pPr>
            <w:r>
              <w:rPr>
                <w:rFonts w:cs="Arial" w:ascii="Arial" w:hAnsi="Arial"/>
                <w:b/>
                <w:sz w:val="18"/>
                <w:szCs w:val="18"/>
              </w:rPr>
              <w:t>Data: ______ / ____________ de 2026.</w:t>
            </w:r>
          </w:p>
          <w:p>
            <w:pPr>
              <w:pStyle w:val="Normal"/>
              <w:widowControl w:val="false"/>
              <w:jc w:val="both"/>
              <w:rPr>
                <w:rFonts w:ascii="Arial" w:hAnsi="Arial" w:cs="Arial"/>
                <w:sz w:val="18"/>
                <w:szCs w:val="18"/>
              </w:rPr>
            </w:pPr>
            <w:r>
              <w:rPr>
                <w:rFonts w:cs="Arial" w:ascii="Arial" w:hAnsi="Arial"/>
                <w:sz w:val="18"/>
                <w:szCs w:val="18"/>
              </w:rPr>
            </w:r>
          </w:p>
          <w:p>
            <w:pPr>
              <w:pStyle w:val="Normal"/>
              <w:widowControl w:val="false"/>
              <w:jc w:val="both"/>
              <w:rPr>
                <w:rFonts w:ascii="Arial" w:hAnsi="Arial" w:cs="Arial"/>
                <w:sz w:val="18"/>
                <w:szCs w:val="18"/>
              </w:rPr>
            </w:pPr>
            <w:r>
              <w:rPr>
                <w:rFonts w:cs="Arial" w:ascii="Arial" w:hAnsi="Arial"/>
                <w:sz w:val="18"/>
                <w:szCs w:val="18"/>
              </w:rPr>
            </w:r>
          </w:p>
          <w:p>
            <w:pPr>
              <w:pStyle w:val="Normal"/>
              <w:widowControl w:val="false"/>
              <w:jc w:val="both"/>
              <w:rPr>
                <w:rFonts w:ascii="Arial" w:hAnsi="Arial" w:cs="Arial"/>
                <w:sz w:val="18"/>
                <w:szCs w:val="18"/>
              </w:rPr>
            </w:pPr>
            <w:r>
              <w:rPr>
                <w:rFonts w:cs="Arial" w:ascii="Arial" w:hAnsi="Arial"/>
                <w:sz w:val="18"/>
                <w:szCs w:val="18"/>
              </w:rPr>
            </w:r>
          </w:p>
          <w:p>
            <w:pPr>
              <w:pStyle w:val="Normal"/>
              <w:widowControl w:val="false"/>
              <w:jc w:val="both"/>
              <w:rPr>
                <w:rFonts w:ascii="Arial" w:hAnsi="Arial" w:cs="Arial"/>
                <w:sz w:val="18"/>
                <w:szCs w:val="18"/>
              </w:rPr>
            </w:pPr>
            <w:r>
              <w:rPr>
                <w:rFonts w:cs="Arial" w:ascii="Arial" w:hAnsi="Arial"/>
                <w:b/>
                <w:sz w:val="18"/>
                <w:szCs w:val="18"/>
              </w:rPr>
              <w:t>________________________________________</w:t>
            </w:r>
          </w:p>
          <w:p>
            <w:pPr>
              <w:pStyle w:val="Normal"/>
              <w:widowControl w:val="false"/>
              <w:jc w:val="both"/>
              <w:rPr>
                <w:rFonts w:ascii="Arial" w:hAnsi="Arial" w:cs="Arial"/>
                <w:bCs/>
                <w:sz w:val="18"/>
                <w:szCs w:val="18"/>
              </w:rPr>
            </w:pPr>
            <w:r>
              <w:rPr>
                <w:rFonts w:cs="Arial" w:ascii="Arial" w:hAnsi="Arial"/>
                <w:b/>
                <w:sz w:val="18"/>
                <w:szCs w:val="18"/>
              </w:rPr>
              <w:t>Assinatura e Identificação do Proponente Legal</w:t>
            </w:r>
          </w:p>
        </w:tc>
        <w:tc>
          <w:tcPr>
            <w:tcW w:w="572" w:type="dxa"/>
            <w:tcBorders/>
          </w:tcPr>
          <w:p>
            <w:pPr>
              <w:pStyle w:val="Normal"/>
              <w:widowControl w:val="false"/>
              <w:jc w:val="both"/>
              <w:rPr>
                <w:rFonts w:ascii="Arial" w:hAnsi="Arial" w:cs="Arial"/>
                <w:sz w:val="18"/>
                <w:szCs w:val="18"/>
              </w:rPr>
            </w:pPr>
            <w:r>
              <w:rPr>
                <w:rFonts w:cs="Arial" w:ascii="Arial" w:hAnsi="Arial"/>
                <w:sz w:val="18"/>
                <w:szCs w:val="18"/>
              </w:rPr>
            </w:r>
          </w:p>
        </w:tc>
        <w:tc>
          <w:tcPr>
            <w:tcW w:w="4113"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Arial" w:hAnsi="Arial" w:cs="Arial"/>
                <w:sz w:val="18"/>
                <w:szCs w:val="18"/>
              </w:rPr>
            </w:pPr>
            <w:r>
              <w:rPr>
                <w:rFonts w:cs="Arial" w:ascii="Arial" w:hAnsi="Arial"/>
                <w:b/>
                <w:sz w:val="18"/>
                <w:szCs w:val="18"/>
              </w:rPr>
              <w:t>Carimbo do CNPJ</w:t>
            </w:r>
          </w:p>
          <w:p>
            <w:pPr>
              <w:pStyle w:val="Normal"/>
              <w:widowControl w:val="false"/>
              <w:jc w:val="both"/>
              <w:rPr>
                <w:rFonts w:ascii="Arial" w:hAnsi="Arial" w:cs="Arial"/>
                <w:sz w:val="18"/>
                <w:szCs w:val="18"/>
              </w:rPr>
            </w:pPr>
            <w:r>
              <w:rPr>
                <w:rFonts w:cs="Arial" w:ascii="Arial" w:hAnsi="Arial"/>
                <w:sz w:val="18"/>
                <w:szCs w:val="18"/>
              </w:rPr>
            </w:r>
          </w:p>
          <w:p>
            <w:pPr>
              <w:pStyle w:val="Normal"/>
              <w:widowControl w:val="false"/>
              <w:jc w:val="both"/>
              <w:rPr>
                <w:rFonts w:ascii="Arial" w:hAnsi="Arial" w:cs="Arial"/>
                <w:sz w:val="18"/>
                <w:szCs w:val="18"/>
              </w:rPr>
            </w:pPr>
            <w:r>
              <w:rPr>
                <w:rFonts w:cs="Arial" w:ascii="Arial" w:hAnsi="Arial"/>
                <w:sz w:val="18"/>
                <w:szCs w:val="18"/>
              </w:rPr>
            </w:r>
          </w:p>
          <w:p>
            <w:pPr>
              <w:pStyle w:val="Normal"/>
              <w:widowControl w:val="false"/>
              <w:jc w:val="both"/>
              <w:rPr>
                <w:rFonts w:ascii="Arial" w:hAnsi="Arial" w:cs="Arial"/>
                <w:sz w:val="18"/>
                <w:szCs w:val="18"/>
              </w:rPr>
            </w:pPr>
            <w:r>
              <w:rPr>
                <w:rFonts w:cs="Arial" w:ascii="Arial" w:hAnsi="Arial"/>
                <w:sz w:val="18"/>
                <w:szCs w:val="18"/>
              </w:rPr>
            </w:r>
          </w:p>
          <w:p>
            <w:pPr>
              <w:pStyle w:val="Normal"/>
              <w:widowControl w:val="false"/>
              <w:jc w:val="both"/>
              <w:rPr>
                <w:rFonts w:ascii="Arial" w:hAnsi="Arial" w:cs="Arial"/>
                <w:sz w:val="18"/>
                <w:szCs w:val="18"/>
              </w:rPr>
            </w:pPr>
            <w:r>
              <w:rPr>
                <w:rFonts w:cs="Arial" w:ascii="Arial" w:hAnsi="Arial"/>
                <w:sz w:val="18"/>
                <w:szCs w:val="18"/>
              </w:rPr>
            </w:r>
          </w:p>
          <w:p>
            <w:pPr>
              <w:pStyle w:val="Normal"/>
              <w:widowControl w:val="false"/>
              <w:jc w:val="both"/>
              <w:rPr>
                <w:rFonts w:ascii="Arial" w:hAnsi="Arial" w:cs="Arial"/>
                <w:sz w:val="18"/>
                <w:szCs w:val="18"/>
              </w:rPr>
            </w:pPr>
            <w:r>
              <w:rPr>
                <w:rFonts w:cs="Arial" w:ascii="Arial" w:hAnsi="Arial"/>
                <w:sz w:val="18"/>
                <w:szCs w:val="18"/>
              </w:rPr>
            </w:r>
          </w:p>
          <w:p>
            <w:pPr>
              <w:pStyle w:val="Normal"/>
              <w:widowControl w:val="false"/>
              <w:jc w:val="both"/>
              <w:rPr>
                <w:rFonts w:ascii="Arial" w:hAnsi="Arial" w:cs="Arial"/>
                <w:sz w:val="18"/>
                <w:szCs w:val="18"/>
              </w:rPr>
            </w:pPr>
            <w:r>
              <w:rPr>
                <w:rFonts w:cs="Arial" w:ascii="Arial" w:hAnsi="Arial"/>
                <w:sz w:val="18"/>
                <w:szCs w:val="18"/>
              </w:rPr>
            </w:r>
          </w:p>
          <w:p>
            <w:pPr>
              <w:pStyle w:val="Normal"/>
              <w:widowControl w:val="false"/>
              <w:jc w:val="both"/>
              <w:rPr>
                <w:rFonts w:ascii="Arial" w:hAnsi="Arial" w:cs="Arial"/>
                <w:sz w:val="18"/>
                <w:szCs w:val="18"/>
              </w:rPr>
            </w:pPr>
            <w:r>
              <w:rPr>
                <w:rFonts w:cs="Arial" w:ascii="Arial" w:hAnsi="Arial"/>
                <w:sz w:val="18"/>
                <w:szCs w:val="18"/>
              </w:rPr>
            </w:r>
          </w:p>
          <w:p>
            <w:pPr>
              <w:pStyle w:val="Normal"/>
              <w:widowControl w:val="false"/>
              <w:jc w:val="both"/>
              <w:rPr>
                <w:rFonts w:ascii="Arial" w:hAnsi="Arial" w:cs="Arial"/>
                <w:sz w:val="18"/>
                <w:szCs w:val="18"/>
              </w:rPr>
            </w:pPr>
            <w:r>
              <w:rPr>
                <w:rFonts w:cs="Arial" w:ascii="Arial" w:hAnsi="Arial"/>
                <w:sz w:val="18"/>
                <w:szCs w:val="18"/>
              </w:rPr>
            </w:r>
          </w:p>
          <w:p>
            <w:pPr>
              <w:pStyle w:val="Normal"/>
              <w:widowControl w:val="false"/>
              <w:jc w:val="both"/>
              <w:rPr>
                <w:rFonts w:ascii="Arial" w:hAnsi="Arial" w:cs="Arial"/>
                <w:sz w:val="18"/>
                <w:szCs w:val="18"/>
              </w:rPr>
            </w:pPr>
            <w:r>
              <w:rPr>
                <w:rFonts w:cs="Arial" w:ascii="Arial" w:hAnsi="Arial"/>
                <w:sz w:val="18"/>
                <w:szCs w:val="18"/>
              </w:rPr>
            </w:r>
          </w:p>
          <w:p>
            <w:pPr>
              <w:pStyle w:val="Normal"/>
              <w:widowControl w:val="false"/>
              <w:jc w:val="both"/>
              <w:rPr>
                <w:rFonts w:ascii="Arial" w:hAnsi="Arial" w:cs="Arial"/>
                <w:sz w:val="18"/>
                <w:szCs w:val="18"/>
              </w:rPr>
            </w:pPr>
            <w:r>
              <w:rPr>
                <w:rFonts w:cs="Arial" w:ascii="Arial" w:hAnsi="Arial"/>
                <w:sz w:val="18"/>
                <w:szCs w:val="18"/>
              </w:rPr>
            </w:r>
          </w:p>
        </w:tc>
      </w:tr>
    </w:tbl>
    <w:p>
      <w:pPr>
        <w:pStyle w:val="Normal"/>
        <w:jc w:val="both"/>
        <w:rPr>
          <w:rFonts w:ascii="Arial" w:hAnsi="Arial" w:cs="Arial"/>
          <w:b/>
          <w:bCs/>
          <w:color w:themeColor="text1" w:val="000000"/>
          <w:sz w:val="18"/>
          <w:szCs w:val="18"/>
        </w:rPr>
      </w:pPr>
      <w:r>
        <w:rPr>
          <w:rFonts w:cs="Arial" w:ascii="Arial" w:hAnsi="Arial"/>
          <w:b/>
          <w:bCs/>
          <w:color w:themeColor="text1" w:val="000000"/>
          <w:sz w:val="18"/>
          <w:szCs w:val="18"/>
        </w:rPr>
      </w:r>
    </w:p>
    <w:p>
      <w:pPr>
        <w:pStyle w:val="Normal"/>
        <w:jc w:val="center"/>
        <w:rPr>
          <w:rFonts w:ascii="Gadugi" w:hAnsi="Gadugi" w:cs="Gadugi"/>
          <w:b/>
          <w:bCs/>
          <w:color w:themeColor="text1" w:val="000000"/>
          <w:sz w:val="18"/>
          <w:szCs w:val="18"/>
        </w:rPr>
      </w:pPr>
      <w:r>
        <w:rPr>
          <w:rFonts w:cs="Gadugi" w:ascii="Gadugi" w:hAnsi="Gadugi"/>
          <w:b/>
          <w:bCs/>
          <w:color w:themeColor="text1" w:val="000000"/>
          <w:sz w:val="18"/>
          <w:szCs w:val="18"/>
        </w:rPr>
        <w:t>ANEXO III</w:t>
      </w:r>
    </w:p>
    <w:p>
      <w:pPr>
        <w:pStyle w:val="Normal"/>
        <w:spacing w:lineRule="auto" w:line="276" w:before="120" w:after="120"/>
        <w:jc w:val="center"/>
        <w:rPr>
          <w:rFonts w:ascii="Gadugi" w:hAnsi="Gadugi" w:cs="Gadugi"/>
          <w:sz w:val="18"/>
          <w:szCs w:val="18"/>
        </w:rPr>
      </w:pPr>
      <w:r>
        <w:rPr>
          <w:rFonts w:cs="Gadugi" w:ascii="Gadugi" w:hAnsi="Gadugi"/>
          <w:b/>
          <w:bCs/>
          <w:color w:themeColor="text1" w:val="000000"/>
          <w:sz w:val="18"/>
          <w:szCs w:val="18"/>
          <w:shd w:fill="FFFFFF" w:val="clear"/>
        </w:rPr>
        <w:t>MINUTA DE CONTRATO</w:t>
      </w:r>
      <w:r>
        <w:rPr>
          <w:rFonts w:cs="Gadugi" w:ascii="Gadugi" w:hAnsi="Gadugi"/>
          <w:b/>
          <w:bCs/>
          <w:color w:themeColor="text1" w:val="000000"/>
          <w:sz w:val="18"/>
          <w:szCs w:val="18"/>
        </w:rPr>
        <w:br/>
        <w:t>Lei nº 14.133, de 1º de abril de 2021</w:t>
      </w:r>
    </w:p>
    <w:p>
      <w:pPr>
        <w:pStyle w:val="Normal"/>
        <w:spacing w:before="120" w:after="120"/>
        <w:jc w:val="center"/>
        <w:rPr>
          <w:rFonts w:ascii="Gadugi" w:hAnsi="Gadugi" w:cs="Gadugi"/>
          <w:sz w:val="18"/>
          <w:szCs w:val="18"/>
        </w:rPr>
      </w:pPr>
      <w:r>
        <w:rPr>
          <w:rFonts w:eastAsia="Arial" w:cs="Gadugi" w:ascii="Gadugi" w:hAnsi="Gadugi"/>
          <w:b/>
          <w:bCs/>
          <w:i/>
          <w:iCs/>
          <w:sz w:val="18"/>
          <w:szCs w:val="18"/>
        </w:rPr>
        <w:t>MUNICÍPIO DE SANTA BÁRBARA DO SUL</w:t>
      </w:r>
      <w:r>
        <w:rPr>
          <w:rFonts w:eastAsia="Arial" w:cs="Gadugi" w:ascii="Gadugi" w:hAnsi="Gadugi"/>
          <w:i/>
          <w:iCs/>
          <w:sz w:val="18"/>
          <w:szCs w:val="18"/>
        </w:rPr>
        <w:t xml:space="preserve"> </w:t>
      </w:r>
      <w:r>
        <w:rPr>
          <w:rFonts w:eastAsia="Arial" w:cs="Gadugi" w:ascii="Gadugi" w:hAnsi="Gadugi"/>
          <w:b/>
          <w:bCs/>
          <w:i/>
          <w:iCs/>
          <w:sz w:val="18"/>
          <w:szCs w:val="18"/>
        </w:rPr>
        <w:t>/ RS</w:t>
      </w:r>
    </w:p>
    <w:p>
      <w:pPr>
        <w:pStyle w:val="Normal"/>
        <w:spacing w:before="120" w:after="288"/>
        <w:jc w:val="center"/>
        <w:rPr>
          <w:rFonts w:ascii="Gadugi" w:hAnsi="Gadugi" w:cs="Gadugi"/>
          <w:sz w:val="18"/>
          <w:szCs w:val="18"/>
        </w:rPr>
      </w:pPr>
      <w:r>
        <w:rPr>
          <w:rFonts w:eastAsia="Arial" w:cs="Gadugi" w:ascii="Gadugi" w:hAnsi="Gadugi"/>
          <w:color w:themeColor="text1" w:val="000000"/>
          <w:sz w:val="18"/>
          <w:szCs w:val="18"/>
        </w:rPr>
        <w:t>(Processo Administrativo n° 141/2026)</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 xml:space="preserve">CONTRATO ADMINISTRATIVO Nº ......../...., QUE FAZEM ENTRE SI O MUNICÍPIO DE SANTA BÁRBARA DO SUL-RS, POR INTERMÉDIO DO (A) ......................................................... E ............................................................. </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O MUNICÍPIO DE SANTA BÁRBARA DO SUL/RS, pessoa jurídica de direito público interno, inscrito no CNPJ nº 88.496.468/0001-60, com sede na Avenida Eduardo de Brito, nº 101, Bairro Cerutti, Santa Bárbara do Sul/RS, neste ato representado pelo Prefeito Municipal, Sr. Leandro Caraffini Veneral, nomeado(a) pela Portaria nº ......, de ..... de ..................... de 20..., publicada no</w:t>
      </w:r>
      <w:r>
        <w:rPr>
          <w:rFonts w:eastAsia="Arial" w:cs="Arial" w:ascii="Arial" w:hAnsi="Arial"/>
          <w:bCs/>
          <w:i/>
          <w:iCs/>
          <w:sz w:val="16"/>
          <w:szCs w:val="16"/>
        </w:rPr>
        <w:t xml:space="preserve"> ......... </w:t>
      </w:r>
      <w:r>
        <w:rPr>
          <w:rFonts w:eastAsia="Arial" w:cs="Arial" w:ascii="Arial" w:hAnsi="Arial"/>
          <w:bCs/>
          <w:sz w:val="16"/>
          <w:szCs w:val="16"/>
        </w:rPr>
        <w:t xml:space="preserve">de ..... de ............... de ..........., portador da Matrícula Funcional nº .........., doravante denominado CONTRATANTE, e o(a) .............................., </w:t>
      </w:r>
      <w:r>
        <w:rPr>
          <w:rFonts w:eastAsia="Arial" w:cs="Arial" w:ascii="Arial" w:hAnsi="Arial"/>
          <w:bCs/>
          <w:i/>
          <w:iCs/>
          <w:sz w:val="16"/>
          <w:szCs w:val="16"/>
        </w:rPr>
        <w:t>inscrito(a) no CNPJ/MF sob o nº ............................, sediado(a) na</w:t>
      </w:r>
      <w:r>
        <w:rPr>
          <w:rFonts w:eastAsia="Arial" w:cs="Arial" w:ascii="Arial" w:hAnsi="Arial"/>
          <w:bCs/>
          <w:sz w:val="16"/>
          <w:szCs w:val="16"/>
        </w:rPr>
        <w:t xml:space="preserve"> ..................................., doravante designado CONTRATADO, </w:t>
      </w:r>
      <w:r>
        <w:rPr>
          <w:rFonts w:eastAsia="Arial" w:cs="Arial" w:ascii="Arial" w:hAnsi="Arial"/>
          <w:bCs/>
          <w:i/>
          <w:iCs/>
          <w:sz w:val="16"/>
          <w:szCs w:val="16"/>
        </w:rPr>
        <w:t>neste ato representado(a) por</w:t>
      </w:r>
      <w:r>
        <w:rPr>
          <w:rFonts w:eastAsia="Arial" w:cs="Arial" w:ascii="Arial" w:hAnsi="Arial"/>
          <w:bCs/>
          <w:sz w:val="16"/>
          <w:szCs w:val="16"/>
        </w:rPr>
        <w:t xml:space="preserve"> .................................. (nome e função no contratado), </w:t>
      </w:r>
      <w:r>
        <w:rPr>
          <w:rFonts w:eastAsia="Arial" w:cs="Arial" w:ascii="Arial" w:hAnsi="Arial"/>
          <w:bCs/>
          <w:i/>
          <w:iCs/>
          <w:sz w:val="16"/>
          <w:szCs w:val="16"/>
        </w:rPr>
        <w:t xml:space="preserve">conforme atos constitutivos da empresa </w:t>
      </w:r>
      <w:r>
        <w:rPr>
          <w:rFonts w:eastAsia="Arial" w:cs="Arial" w:ascii="Arial" w:hAnsi="Arial"/>
          <w:b/>
          <w:bCs/>
          <w:i/>
          <w:iCs/>
          <w:sz w:val="16"/>
          <w:szCs w:val="16"/>
        </w:rPr>
        <w:t>OU</w:t>
      </w:r>
      <w:r>
        <w:rPr>
          <w:rFonts w:eastAsia="Arial" w:cs="Arial" w:ascii="Arial" w:hAnsi="Arial"/>
          <w:bCs/>
          <w:i/>
          <w:iCs/>
          <w:sz w:val="16"/>
          <w:szCs w:val="16"/>
        </w:rPr>
        <w:t xml:space="preserve"> procuração apresentada nos autos, </w:t>
      </w:r>
      <w:r>
        <w:rPr>
          <w:rFonts w:eastAsia="Arial" w:cs="Arial" w:ascii="Arial" w:hAnsi="Arial"/>
          <w:bCs/>
          <w:sz w:val="16"/>
          <w:szCs w:val="16"/>
        </w:rPr>
        <w:t xml:space="preserve">tendo em vista o que consta no Processo nº .............................. e em observância às disposições da </w:t>
      </w:r>
      <w:r>
        <w:rPr>
          <w:rFonts w:eastAsia="Arial" w:cs="Arial" w:ascii="Arial" w:hAnsi="Arial"/>
          <w:b/>
          <w:bCs/>
          <w:sz w:val="16"/>
          <w:szCs w:val="16"/>
        </w:rPr>
        <w:t>Lei nº 14.133, de 1º de abril de 2021</w:t>
      </w:r>
      <w:r>
        <w:rPr>
          <w:rFonts w:eastAsia="Arial" w:cs="Arial" w:ascii="Arial" w:hAnsi="Arial"/>
          <w:bCs/>
          <w:sz w:val="16"/>
          <w:szCs w:val="16"/>
        </w:rPr>
        <w:t xml:space="preserve">, e demais legislação aplicável, resolvem celebrar o presente Termo de Contrato, decorrente </w:t>
      </w:r>
      <w:r>
        <w:rPr>
          <w:rFonts w:eastAsia="Arial" w:cs="Arial" w:ascii="Arial" w:hAnsi="Arial"/>
          <w:bCs/>
          <w:i/>
          <w:iCs/>
          <w:sz w:val="16"/>
          <w:szCs w:val="16"/>
        </w:rPr>
        <w:t xml:space="preserve">do Pregão Eletrônico n°45/2026, </w:t>
      </w:r>
      <w:r>
        <w:rPr>
          <w:rFonts w:eastAsia="Arial" w:cs="Arial" w:ascii="Arial" w:hAnsi="Arial"/>
          <w:bCs/>
          <w:sz w:val="16"/>
          <w:szCs w:val="16"/>
        </w:rPr>
        <w:t>mediante as cláusulas e condições a seguir enunciadas.</w:t>
      </w:r>
    </w:p>
    <w:p>
      <w:pPr>
        <w:pStyle w:val="ListParagraph"/>
        <w:widowControl w:val="false"/>
        <w:numPr>
          <w:ilvl w:val="2"/>
          <w:numId w:val="6"/>
        </w:numPr>
        <w:ind w:hanging="180" w:left="284" w:right="-30"/>
        <w:jc w:val="both"/>
        <w:rPr>
          <w:rFonts w:ascii="Arial" w:hAnsi="Arial" w:eastAsia="Arial" w:cs="Arial"/>
          <w:bCs/>
          <w:sz w:val="16"/>
          <w:szCs w:val="16"/>
        </w:rPr>
      </w:pPr>
      <w:r>
        <w:rPr>
          <w:rFonts w:eastAsia="Arial" w:cs="Arial" w:ascii="Arial" w:hAnsi="Arial"/>
          <w:b/>
          <w:bCs/>
          <w:sz w:val="16"/>
          <w:szCs w:val="16"/>
        </w:rPr>
        <w:t>CLÁUSULA PRIMEIRA – OBJETO (</w:t>
      </w:r>
      <w:hyperlink r:id="rId32" w:tgtFrame="_blank">
        <w:r>
          <w:rPr>
            <w:rStyle w:val="Hyperlink"/>
            <w:rFonts w:eastAsia="Arial" w:cs="Arial" w:ascii="Arial" w:hAnsi="Arial"/>
            <w:b/>
            <w:bCs/>
            <w:sz w:val="16"/>
            <w:szCs w:val="16"/>
          </w:rPr>
          <w:t>art. 92, I e II</w:t>
        </w:r>
      </w:hyperlink>
      <w:r>
        <w:rPr>
          <w:rFonts w:eastAsia="Arial" w:cs="Arial" w:ascii="Arial" w:hAnsi="Arial"/>
          <w:b/>
          <w:bCs/>
          <w:sz w:val="16"/>
          <w:szCs w:val="16"/>
        </w:rPr>
        <w:t>)</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 xml:space="preserve">1.1. O presente Contrato tem por objeto a </w:t>
      </w:r>
      <w:r>
        <w:rPr>
          <w:rFonts w:eastAsia="Arial" w:cs="Arial" w:ascii="Arial" w:hAnsi="Arial"/>
          <w:b/>
          <w:bCs/>
          <w:sz w:val="16"/>
          <w:szCs w:val="16"/>
        </w:rPr>
        <w:t>prestação de serviços de transporte escolar, mediante disponibilização de veículos e motoristas devidamente habilitados, destinados ao transporte de estudantes da Rede Municipal de Ensino do Município de Santa Bárbara do Sul/RS, conforme itinerários, quilometragem estimada, especificações técnicas, condições de execução e demais exigências constantes do Termo de Referência, Edital e seus anexos</w:t>
      </w:r>
      <w:r>
        <w:rPr>
          <w:rFonts w:eastAsia="Arial" w:cs="Arial" w:ascii="Arial" w:hAnsi="Arial"/>
          <w:bCs/>
          <w:sz w:val="16"/>
          <w:szCs w:val="16"/>
        </w:rPr>
        <w:t xml:space="preserve">. </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1.2. Objeto da contratação:</w:t>
      </w:r>
    </w:p>
    <w:tbl>
      <w:tblPr>
        <w:tblW w:w="10031" w:type="dxa"/>
        <w:jc w:val="left"/>
        <w:tblInd w:w="103" w:type="dxa"/>
        <w:tblLayout w:type="fixed"/>
        <w:tblCellMar>
          <w:top w:w="0" w:type="dxa"/>
          <w:left w:w="108" w:type="dxa"/>
          <w:bottom w:w="0" w:type="dxa"/>
          <w:right w:w="108" w:type="dxa"/>
        </w:tblCellMar>
        <w:tblLook w:val="04a0" w:firstRow="1" w:noVBand="1" w:lastRow="0" w:firstColumn="1" w:lastColumn="0" w:noHBand="0"/>
      </w:tblPr>
      <w:tblGrid>
        <w:gridCol w:w="994"/>
        <w:gridCol w:w="1230"/>
        <w:gridCol w:w="1473"/>
        <w:gridCol w:w="1824"/>
        <w:gridCol w:w="1978"/>
        <w:gridCol w:w="1278"/>
        <w:gridCol w:w="1254"/>
      </w:tblGrid>
      <w:tr>
        <w:trPr>
          <w:trHeight w:val="384" w:hRule="atLeast"/>
        </w:trPr>
        <w:tc>
          <w:tcPr>
            <w:tcW w:w="994"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ind w:right="-30"/>
              <w:jc w:val="both"/>
              <w:rPr>
                <w:rFonts w:ascii="Arial" w:hAnsi="Arial" w:eastAsia="Arial" w:cs="Arial"/>
                <w:bCs/>
                <w:sz w:val="16"/>
                <w:szCs w:val="16"/>
              </w:rPr>
            </w:pPr>
            <w:r>
              <w:rPr>
                <w:rFonts w:eastAsia="Arial" w:cs="Arial" w:ascii="Arial" w:hAnsi="Arial"/>
                <w:b/>
                <w:bCs/>
                <w:sz w:val="16"/>
                <w:szCs w:val="16"/>
              </w:rPr>
              <w:t>ITEM</w:t>
            </w:r>
          </w:p>
        </w:tc>
        <w:tc>
          <w:tcPr>
            <w:tcW w:w="1230"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ind w:right="-30"/>
              <w:jc w:val="both"/>
              <w:rPr>
                <w:rFonts w:ascii="Arial" w:hAnsi="Arial" w:eastAsia="Arial" w:cs="Arial"/>
                <w:bCs/>
                <w:sz w:val="16"/>
                <w:szCs w:val="16"/>
              </w:rPr>
            </w:pPr>
            <w:r>
              <w:rPr>
                <w:rFonts w:eastAsia="Arial" w:cs="Arial" w:ascii="Arial" w:hAnsi="Arial"/>
                <w:bCs/>
                <w:sz w:val="16"/>
                <w:szCs w:val="16"/>
              </w:rPr>
              <w:t>LINHA</w:t>
            </w:r>
          </w:p>
        </w:tc>
        <w:tc>
          <w:tcPr>
            <w:tcW w:w="1473"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ind w:right="-30"/>
              <w:jc w:val="both"/>
              <w:rPr>
                <w:rFonts w:ascii="Arial" w:hAnsi="Arial" w:eastAsia="Arial" w:cs="Arial"/>
                <w:bCs/>
                <w:sz w:val="16"/>
                <w:szCs w:val="16"/>
              </w:rPr>
            </w:pPr>
            <w:r>
              <w:rPr>
                <w:rFonts w:eastAsia="Arial" w:cs="Arial" w:ascii="Arial" w:hAnsi="Arial"/>
                <w:b/>
                <w:bCs/>
                <w:sz w:val="16"/>
                <w:szCs w:val="16"/>
              </w:rPr>
              <w:t>ITINERÁRIO</w:t>
            </w:r>
          </w:p>
        </w:tc>
        <w:tc>
          <w:tcPr>
            <w:tcW w:w="1824"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ind w:right="-30"/>
              <w:jc w:val="both"/>
              <w:rPr>
                <w:rFonts w:ascii="Arial" w:hAnsi="Arial" w:eastAsia="Arial" w:cs="Arial"/>
                <w:b/>
                <w:bCs/>
                <w:sz w:val="16"/>
                <w:szCs w:val="16"/>
              </w:rPr>
            </w:pPr>
            <w:r>
              <w:rPr>
                <w:rFonts w:eastAsia="Arial" w:cs="Arial" w:ascii="Arial" w:hAnsi="Arial"/>
                <w:b/>
                <w:bCs/>
                <w:sz w:val="16"/>
                <w:szCs w:val="16"/>
              </w:rPr>
              <w:t>TIPO DE VEÍCULO</w:t>
            </w:r>
          </w:p>
        </w:tc>
        <w:tc>
          <w:tcPr>
            <w:tcW w:w="1978"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ind w:right="-30"/>
              <w:jc w:val="both"/>
              <w:rPr>
                <w:rFonts w:ascii="Arial" w:hAnsi="Arial" w:eastAsia="Arial" w:cs="Arial"/>
                <w:bCs/>
                <w:sz w:val="16"/>
                <w:szCs w:val="16"/>
              </w:rPr>
            </w:pPr>
            <w:r>
              <w:rPr>
                <w:rFonts w:eastAsia="Arial" w:cs="Arial" w:ascii="Arial" w:hAnsi="Arial"/>
                <w:b/>
                <w:bCs/>
                <w:sz w:val="16"/>
                <w:szCs w:val="16"/>
              </w:rPr>
              <w:t>QUILOMETRAGEM ESTIMADA</w:t>
            </w:r>
          </w:p>
        </w:tc>
        <w:tc>
          <w:tcPr>
            <w:tcW w:w="1278"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ind w:right="-30"/>
              <w:jc w:val="both"/>
              <w:rPr>
                <w:rFonts w:ascii="Arial" w:hAnsi="Arial" w:eastAsia="Arial" w:cs="Arial"/>
                <w:bCs/>
                <w:sz w:val="16"/>
                <w:szCs w:val="16"/>
              </w:rPr>
            </w:pPr>
            <w:r>
              <w:rPr>
                <w:rFonts w:eastAsia="Arial" w:cs="Arial" w:ascii="Arial" w:hAnsi="Arial"/>
                <w:b/>
                <w:bCs/>
                <w:sz w:val="16"/>
                <w:szCs w:val="16"/>
              </w:rPr>
              <w:t>VALOR POR KM</w:t>
            </w:r>
          </w:p>
        </w:tc>
        <w:tc>
          <w:tcPr>
            <w:tcW w:w="1254"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ind w:right="-30"/>
              <w:jc w:val="both"/>
              <w:rPr>
                <w:rFonts w:ascii="Arial" w:hAnsi="Arial" w:eastAsia="Arial" w:cs="Arial"/>
                <w:bCs/>
                <w:sz w:val="16"/>
                <w:szCs w:val="16"/>
              </w:rPr>
            </w:pPr>
            <w:r>
              <w:rPr>
                <w:rFonts w:eastAsia="Arial" w:cs="Arial" w:ascii="Arial" w:hAnsi="Arial"/>
                <w:b/>
                <w:bCs/>
                <w:sz w:val="16"/>
                <w:szCs w:val="16"/>
              </w:rPr>
              <w:t>VALOR ESTIMADO</w:t>
            </w:r>
          </w:p>
        </w:tc>
      </w:tr>
      <w:tr>
        <w:trPr>
          <w:trHeight w:val="191" w:hRule="atLeast"/>
        </w:trPr>
        <w:tc>
          <w:tcPr>
            <w:tcW w:w="994"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ind w:right="-30"/>
              <w:jc w:val="both"/>
              <w:rPr>
                <w:rFonts w:ascii="Arial" w:hAnsi="Arial" w:eastAsia="Arial" w:cs="Arial"/>
                <w:bCs/>
                <w:sz w:val="16"/>
                <w:szCs w:val="16"/>
              </w:rPr>
            </w:pPr>
            <w:r>
              <w:rPr>
                <w:rFonts w:eastAsia="Arial" w:cs="Arial" w:ascii="Arial" w:hAnsi="Arial"/>
                <w:b/>
                <w:bCs/>
                <w:sz w:val="16"/>
                <w:szCs w:val="16"/>
              </w:rPr>
              <w:t>1</w:t>
            </w:r>
          </w:p>
        </w:tc>
        <w:tc>
          <w:tcPr>
            <w:tcW w:w="1230"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ind w:right="-30"/>
              <w:jc w:val="both"/>
              <w:rPr>
                <w:rFonts w:ascii="Arial" w:hAnsi="Arial" w:eastAsia="Arial" w:cs="Arial"/>
                <w:bCs/>
                <w:sz w:val="16"/>
                <w:szCs w:val="16"/>
              </w:rPr>
            </w:pPr>
            <w:r>
              <w:rPr>
                <w:rFonts w:eastAsia="Arial" w:cs="Arial" w:ascii="Arial" w:hAnsi="Arial"/>
                <w:bCs/>
                <w:sz w:val="16"/>
                <w:szCs w:val="16"/>
              </w:rPr>
            </w:r>
          </w:p>
        </w:tc>
        <w:tc>
          <w:tcPr>
            <w:tcW w:w="1473"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ind w:right="-30"/>
              <w:jc w:val="both"/>
              <w:rPr>
                <w:rFonts w:ascii="Arial" w:hAnsi="Arial" w:eastAsia="Arial" w:cs="Arial"/>
                <w:bCs/>
                <w:sz w:val="16"/>
                <w:szCs w:val="16"/>
              </w:rPr>
            </w:pPr>
            <w:r>
              <w:rPr>
                <w:rFonts w:eastAsia="Arial" w:cs="Arial" w:ascii="Arial" w:hAnsi="Arial"/>
                <w:bCs/>
                <w:sz w:val="16"/>
                <w:szCs w:val="16"/>
              </w:rPr>
            </w:r>
          </w:p>
        </w:tc>
        <w:tc>
          <w:tcPr>
            <w:tcW w:w="1824"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ind w:right="-30"/>
              <w:jc w:val="both"/>
              <w:rPr>
                <w:rFonts w:ascii="Arial" w:hAnsi="Arial" w:eastAsia="Arial" w:cs="Arial"/>
                <w:bCs/>
                <w:sz w:val="16"/>
                <w:szCs w:val="16"/>
              </w:rPr>
            </w:pPr>
            <w:r>
              <w:rPr>
                <w:rFonts w:eastAsia="Arial" w:cs="Arial" w:ascii="Arial" w:hAnsi="Arial"/>
                <w:bCs/>
                <w:sz w:val="16"/>
                <w:szCs w:val="16"/>
              </w:rPr>
            </w:r>
          </w:p>
        </w:tc>
        <w:tc>
          <w:tcPr>
            <w:tcW w:w="1978"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ind w:right="-30"/>
              <w:jc w:val="both"/>
              <w:rPr>
                <w:rFonts w:ascii="Arial" w:hAnsi="Arial" w:eastAsia="Arial" w:cs="Arial"/>
                <w:bCs/>
                <w:sz w:val="16"/>
                <w:szCs w:val="16"/>
              </w:rPr>
            </w:pPr>
            <w:r>
              <w:rPr>
                <w:rFonts w:eastAsia="Arial" w:cs="Arial" w:ascii="Arial" w:hAnsi="Arial"/>
                <w:bCs/>
                <w:sz w:val="16"/>
                <w:szCs w:val="16"/>
              </w:rPr>
            </w:r>
          </w:p>
        </w:tc>
        <w:tc>
          <w:tcPr>
            <w:tcW w:w="1278"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ind w:right="-30"/>
              <w:jc w:val="both"/>
              <w:rPr>
                <w:rFonts w:ascii="Arial" w:hAnsi="Arial" w:eastAsia="Arial" w:cs="Arial"/>
                <w:bCs/>
                <w:sz w:val="16"/>
                <w:szCs w:val="16"/>
              </w:rPr>
            </w:pPr>
            <w:r>
              <w:rPr>
                <w:rFonts w:eastAsia="Arial" w:cs="Arial" w:ascii="Arial" w:hAnsi="Arial"/>
                <w:bCs/>
                <w:sz w:val="16"/>
                <w:szCs w:val="16"/>
              </w:rPr>
            </w:r>
          </w:p>
        </w:tc>
        <w:tc>
          <w:tcPr>
            <w:tcW w:w="1254"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ind w:right="-30"/>
              <w:jc w:val="both"/>
              <w:rPr>
                <w:rFonts w:ascii="Arial" w:hAnsi="Arial" w:eastAsia="Arial" w:cs="Arial"/>
                <w:bCs/>
                <w:sz w:val="16"/>
                <w:szCs w:val="16"/>
              </w:rPr>
            </w:pPr>
            <w:r>
              <w:rPr>
                <w:rFonts w:eastAsia="Arial" w:cs="Arial" w:ascii="Arial" w:hAnsi="Arial"/>
                <w:bCs/>
                <w:sz w:val="16"/>
                <w:szCs w:val="16"/>
              </w:rPr>
            </w:r>
          </w:p>
        </w:tc>
      </w:tr>
    </w:tbl>
    <w:p>
      <w:pPr>
        <w:pStyle w:val="Normal"/>
        <w:widowControl w:val="false"/>
        <w:ind w:right="-30"/>
        <w:jc w:val="both"/>
        <w:rPr>
          <w:rFonts w:ascii="Arial" w:hAnsi="Arial" w:eastAsia="Arial" w:cs="Arial"/>
          <w:bCs/>
          <w:sz w:val="16"/>
          <w:szCs w:val="16"/>
        </w:rPr>
      </w:pPr>
      <w:r>
        <w:rPr>
          <w:rFonts w:eastAsia="Arial" w:cs="Arial" w:ascii="Arial" w:hAnsi="Arial"/>
          <w:bCs/>
          <w:sz w:val="16"/>
          <w:szCs w:val="16"/>
        </w:rPr>
        <w:t>1.3. Vinculam esta contratação, independentemente de transcrição:</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1.4. O Termo de Referência;</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1.5. O Edital da Licitação;</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1.6. A Proposta do contratado;</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1.7. Eventuais anexos dos documentos supracitados.</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1.8. Os serviços serão executados durante o calendário escolar oficial do Município, observando rigorosamente os itinerários, horários, quilometragem estimada e demais condições previstas no Termo de Referência.</w:t>
      </w:r>
    </w:p>
    <w:p>
      <w:pPr>
        <w:pStyle w:val="Normal"/>
        <w:widowControl w:val="false"/>
        <w:ind w:right="-30"/>
        <w:jc w:val="both"/>
        <w:rPr>
          <w:rFonts w:ascii="Arial" w:hAnsi="Arial" w:eastAsia="Arial" w:cs="Arial"/>
          <w:bCs/>
          <w:sz w:val="16"/>
          <w:szCs w:val="16"/>
        </w:rPr>
      </w:pPr>
      <w:r>
        <w:rPr>
          <w:rFonts w:eastAsia="Arial" w:cs="Arial" w:ascii="Arial" w:hAnsi="Arial"/>
          <w:b/>
          <w:bCs/>
          <w:sz w:val="16"/>
          <w:szCs w:val="16"/>
        </w:rPr>
        <w:t>2. CLÁUSULA SEGUNDA – VIGÊNCIA E PRORROGAÇÃO</w:t>
      </w:r>
    </w:p>
    <w:p>
      <w:pPr>
        <w:pStyle w:val="Normal"/>
        <w:widowControl w:val="false"/>
        <w:ind w:right="-30"/>
        <w:jc w:val="both"/>
        <w:rPr>
          <w:rFonts w:ascii="Arial" w:hAnsi="Arial" w:eastAsia="Arial" w:cs="Arial"/>
          <w:bCs/>
          <w:sz w:val="16"/>
          <w:szCs w:val="16"/>
        </w:rPr>
      </w:pPr>
      <w:r>
        <w:rPr>
          <w:rFonts w:eastAsia="Arial" w:cs="Arial" w:ascii="Arial" w:hAnsi="Arial"/>
          <w:bCs/>
          <w:i/>
          <w:iCs/>
          <w:sz w:val="16"/>
          <w:szCs w:val="16"/>
        </w:rPr>
        <w:t xml:space="preserve">2.1. O prazo de vigência da contratação é de 12 (doze) meses contados da assinatura na forma </w:t>
      </w:r>
      <w:hyperlink r:id="rId33" w:tgtFrame="_blank">
        <w:r>
          <w:rPr>
            <w:rStyle w:val="Hyperlink"/>
            <w:rFonts w:eastAsia="Arial" w:cs="Arial" w:ascii="Arial" w:hAnsi="Arial"/>
            <w:bCs/>
            <w:i/>
            <w:iCs/>
            <w:sz w:val="16"/>
            <w:szCs w:val="16"/>
          </w:rPr>
          <w:t>do artigo 105 da Lei n° 14.133, de 2021</w:t>
        </w:r>
      </w:hyperlink>
      <w:r>
        <w:rPr>
          <w:rFonts w:eastAsia="Arial" w:cs="Arial" w:ascii="Arial" w:hAnsi="Arial"/>
          <w:bCs/>
          <w:i/>
          <w:iCs/>
          <w:sz w:val="16"/>
          <w:szCs w:val="16"/>
        </w:rPr>
        <w:t>.</w:t>
      </w:r>
    </w:p>
    <w:p>
      <w:pPr>
        <w:pStyle w:val="Normal"/>
        <w:widowControl w:val="false"/>
        <w:ind w:right="-30"/>
        <w:jc w:val="both"/>
        <w:rPr>
          <w:rFonts w:ascii="Arial" w:hAnsi="Arial" w:eastAsia="Arial" w:cs="Arial"/>
          <w:bCs/>
          <w:sz w:val="16"/>
          <w:szCs w:val="16"/>
        </w:rPr>
      </w:pPr>
      <w:r>
        <w:rPr>
          <w:rFonts w:eastAsia="Arial" w:cs="Arial" w:ascii="Arial" w:hAnsi="Arial"/>
          <w:bCs/>
          <w:i/>
          <w:iCs/>
          <w:sz w:val="16"/>
          <w:szCs w:val="16"/>
        </w:rPr>
        <w:t>2.2. O prazo de vigência será automaticamente prorrogado conforme art. 107, independentemente de termo aditivo, quando o objeto não for concluído no período firmado acima, ressalvadas as providências cabíveis no caso de culpa do contratado, previstas neste instrumento.</w:t>
      </w:r>
    </w:p>
    <w:p>
      <w:pPr>
        <w:pStyle w:val="Normal"/>
        <w:widowControl w:val="false"/>
        <w:ind w:right="-30"/>
        <w:jc w:val="both"/>
        <w:rPr>
          <w:rFonts w:ascii="Arial" w:hAnsi="Arial" w:eastAsia="Arial" w:cs="Arial"/>
          <w:bCs/>
          <w:sz w:val="16"/>
          <w:szCs w:val="16"/>
        </w:rPr>
      </w:pPr>
      <w:r>
        <w:rPr>
          <w:rFonts w:eastAsia="Arial" w:cs="Arial" w:ascii="Arial" w:hAnsi="Arial"/>
          <w:b/>
          <w:bCs/>
          <w:sz w:val="16"/>
          <w:szCs w:val="16"/>
        </w:rPr>
        <w:t>3. CLÁUSULA TERCEIRA – MODELOS DE EXECUÇÃO E GESTÃO CONTRATUAIS (</w:t>
      </w:r>
      <w:hyperlink r:id="rId34" w:tgtFrame="_blank">
        <w:r>
          <w:rPr>
            <w:rStyle w:val="Hyperlink"/>
            <w:rFonts w:eastAsia="Arial" w:cs="Arial" w:ascii="Arial" w:hAnsi="Arial"/>
            <w:b/>
            <w:bCs/>
            <w:sz w:val="16"/>
            <w:szCs w:val="16"/>
          </w:rPr>
          <w:t>art. 92, IV, VII e XVIII)</w:t>
        </w:r>
      </w:hyperlink>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3.1. O regime de execução contratual, os modelos de gestão e de execução, assim como os prazos e condições de conclusão, entrega, observação e recebimento do objeto constam no Termo de Referência, anexo a este Contrato.</w:t>
      </w:r>
    </w:p>
    <w:p>
      <w:pPr>
        <w:pStyle w:val="Normal"/>
        <w:widowControl w:val="false"/>
        <w:ind w:right="-30"/>
        <w:jc w:val="both"/>
        <w:rPr>
          <w:rFonts w:ascii="Arial" w:hAnsi="Arial" w:eastAsia="Arial" w:cs="Arial"/>
          <w:bCs/>
          <w:sz w:val="16"/>
          <w:szCs w:val="16"/>
        </w:rPr>
      </w:pPr>
      <w:r>
        <w:rPr>
          <w:rFonts w:eastAsia="Arial" w:cs="Arial" w:ascii="Arial" w:hAnsi="Arial"/>
          <w:b/>
          <w:bCs/>
          <w:sz w:val="16"/>
          <w:szCs w:val="16"/>
        </w:rPr>
        <w:t>4. CLÁUSULA QUARTA – SUBCONTRATAÇÃO</w:t>
      </w:r>
    </w:p>
    <w:p>
      <w:pPr>
        <w:pStyle w:val="Normal"/>
        <w:widowControl w:val="false"/>
        <w:ind w:right="-30"/>
        <w:jc w:val="both"/>
        <w:rPr>
          <w:rFonts w:ascii="Arial" w:hAnsi="Arial" w:eastAsia="Arial" w:cs="Arial"/>
          <w:bCs/>
          <w:sz w:val="16"/>
          <w:szCs w:val="16"/>
        </w:rPr>
      </w:pPr>
      <w:r>
        <w:rPr>
          <w:rFonts w:eastAsia="Arial" w:cs="Arial" w:ascii="Arial" w:hAnsi="Arial"/>
          <w:bCs/>
          <w:i/>
          <w:iCs/>
          <w:sz w:val="16"/>
          <w:szCs w:val="16"/>
        </w:rPr>
        <w:t>4.1. Não será admitida a subcontratação do objeto contratual.</w:t>
      </w:r>
    </w:p>
    <w:p>
      <w:pPr>
        <w:pStyle w:val="Normal"/>
        <w:widowControl w:val="false"/>
        <w:ind w:right="-30"/>
        <w:jc w:val="both"/>
        <w:rPr>
          <w:rFonts w:ascii="Arial" w:hAnsi="Arial" w:eastAsia="Arial" w:cs="Arial"/>
          <w:bCs/>
          <w:sz w:val="16"/>
          <w:szCs w:val="16"/>
        </w:rPr>
      </w:pPr>
      <w:r>
        <w:rPr>
          <w:rFonts w:eastAsia="Arial" w:cs="Arial" w:ascii="Arial" w:hAnsi="Arial"/>
          <w:b/>
          <w:bCs/>
          <w:sz w:val="16"/>
          <w:szCs w:val="16"/>
        </w:rPr>
        <w:t>5. CLÁUSULA QUINTA – PREÇO (</w:t>
      </w:r>
      <w:hyperlink r:id="rId35" w:tgtFrame="_blank">
        <w:r>
          <w:rPr>
            <w:rStyle w:val="Hyperlink"/>
            <w:rFonts w:eastAsia="Arial" w:cs="Arial" w:ascii="Arial" w:hAnsi="Arial"/>
            <w:b/>
            <w:bCs/>
            <w:sz w:val="16"/>
            <w:szCs w:val="16"/>
          </w:rPr>
          <w:t>art. 92, V</w:t>
        </w:r>
      </w:hyperlink>
      <w:r>
        <w:rPr>
          <w:rFonts w:eastAsia="Arial" w:cs="Arial" w:ascii="Arial" w:hAnsi="Arial"/>
          <w:b/>
          <w:bCs/>
          <w:sz w:val="16"/>
          <w:szCs w:val="16"/>
        </w:rPr>
        <w:t>)</w:t>
      </w:r>
    </w:p>
    <w:p>
      <w:pPr>
        <w:pStyle w:val="Normal"/>
        <w:widowControl w:val="false"/>
        <w:ind w:right="-30"/>
        <w:jc w:val="both"/>
        <w:rPr>
          <w:rFonts w:ascii="Arial" w:hAnsi="Arial" w:eastAsia="Arial" w:cs="Arial"/>
          <w:bCs/>
          <w:sz w:val="16"/>
          <w:szCs w:val="16"/>
        </w:rPr>
      </w:pPr>
      <w:r>
        <w:rPr>
          <w:rFonts w:eastAsia="Arial" w:cs="Arial" w:ascii="Arial" w:hAnsi="Arial"/>
          <w:bCs/>
          <w:i/>
          <w:iCs/>
          <w:sz w:val="16"/>
          <w:szCs w:val="16"/>
        </w:rPr>
        <w:t>5.1. O valor total da contratação é de R$.......... (.....)</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widowControl w:val="false"/>
        <w:ind w:right="-30"/>
        <w:jc w:val="both"/>
        <w:rPr>
          <w:rFonts w:ascii="Arial" w:hAnsi="Arial" w:eastAsia="Arial" w:cs="Arial"/>
          <w:bCs/>
          <w:sz w:val="16"/>
          <w:szCs w:val="16"/>
        </w:rPr>
      </w:pPr>
      <w:r>
        <w:rPr>
          <w:rFonts w:eastAsia="Arial" w:cs="Arial" w:ascii="Arial" w:hAnsi="Arial"/>
          <w:b/>
          <w:bCs/>
          <w:sz w:val="16"/>
          <w:szCs w:val="16"/>
        </w:rPr>
        <w:t>5.3.</w:t>
      </w:r>
      <w:r>
        <w:rPr>
          <w:rFonts w:eastAsia="Arial" w:cs="Arial" w:ascii="Arial" w:hAnsi="Arial"/>
          <w:bCs/>
          <w:sz w:val="16"/>
          <w:szCs w:val="16"/>
        </w:rPr>
        <w:t xml:space="preserve"> O pagamento será realizado conforme a quilometragem efetivamente executada e devidamente atestada pela fiscalização do contrato, observado o valor unitário por quilômetro constante da proposta vencedora.</w:t>
      </w:r>
    </w:p>
    <w:p>
      <w:pPr>
        <w:pStyle w:val="Normal"/>
        <w:widowControl w:val="false"/>
        <w:ind w:right="-30"/>
        <w:jc w:val="both"/>
        <w:rPr>
          <w:rFonts w:ascii="Arial" w:hAnsi="Arial" w:eastAsia="Arial" w:cs="Arial"/>
          <w:bCs/>
          <w:sz w:val="16"/>
          <w:szCs w:val="16"/>
        </w:rPr>
      </w:pPr>
      <w:r>
        <w:rPr>
          <w:rFonts w:eastAsia="Arial" w:cs="Arial" w:ascii="Arial" w:hAnsi="Arial"/>
          <w:b/>
          <w:bCs/>
          <w:sz w:val="16"/>
          <w:szCs w:val="16"/>
        </w:rPr>
        <w:t>6. CLÁUSULA SEXTA - PAGAMENTO (</w:t>
      </w:r>
      <w:hyperlink r:id="rId36" w:tgtFrame="_blank">
        <w:r>
          <w:rPr>
            <w:rStyle w:val="Hyperlink"/>
            <w:rFonts w:eastAsia="Arial" w:cs="Arial" w:ascii="Arial" w:hAnsi="Arial"/>
            <w:b/>
            <w:bCs/>
            <w:sz w:val="16"/>
            <w:szCs w:val="16"/>
          </w:rPr>
          <w:t>art. 92, V e VI</w:t>
        </w:r>
      </w:hyperlink>
      <w:r>
        <w:rPr>
          <w:rFonts w:eastAsia="Arial" w:cs="Arial" w:ascii="Arial" w:hAnsi="Arial"/>
          <w:b/>
          <w:bCs/>
          <w:sz w:val="16"/>
          <w:szCs w:val="16"/>
        </w:rPr>
        <w:t>)</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6.1. O prazo para pagamento ao contratado e demais condições a ele referentes encontram-se definidos no Termo de Referência, anexo a este Contrato.</w:t>
      </w:r>
    </w:p>
    <w:p>
      <w:pPr>
        <w:pStyle w:val="Normal"/>
        <w:widowControl w:val="false"/>
        <w:ind w:right="-30"/>
        <w:jc w:val="both"/>
        <w:rPr>
          <w:rFonts w:ascii="Arial" w:hAnsi="Arial" w:eastAsia="Arial" w:cs="Arial"/>
          <w:bCs/>
          <w:sz w:val="16"/>
          <w:szCs w:val="16"/>
        </w:rPr>
      </w:pPr>
      <w:r>
        <w:rPr>
          <w:rFonts w:eastAsia="Arial" w:cs="Arial" w:ascii="Arial" w:hAnsi="Arial"/>
          <w:b/>
          <w:bCs/>
          <w:sz w:val="16"/>
          <w:szCs w:val="16"/>
        </w:rPr>
        <w:t>7. CLÁUSULA SÉTIMA - REAJUSTE (</w:t>
      </w:r>
      <w:hyperlink r:id="rId37" w:tgtFrame="_blank">
        <w:r>
          <w:rPr>
            <w:rStyle w:val="Hyperlink"/>
            <w:rFonts w:eastAsia="Arial" w:cs="Arial" w:ascii="Arial" w:hAnsi="Arial"/>
            <w:b/>
            <w:bCs/>
            <w:sz w:val="16"/>
            <w:szCs w:val="16"/>
          </w:rPr>
          <w:t>art. 92, V</w:t>
        </w:r>
      </w:hyperlink>
      <w:r>
        <w:rPr>
          <w:rFonts w:eastAsia="Arial" w:cs="Arial" w:ascii="Arial" w:hAnsi="Arial"/>
          <w:b/>
          <w:bCs/>
          <w:sz w:val="16"/>
          <w:szCs w:val="16"/>
        </w:rPr>
        <w:t>)</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7.1. Os preços inicialmente contratados são fixos e irreajustáveis no prazo de um ano contado da data do orçamento estimado.</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 xml:space="preserve">7.1.1. O orçamento estimado da contratação foi elaborado mediante pesquisa de preços realizada na forma do art. 23 da Lei nº 14.133/2021 e demais normas aplicáveis. </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7.2. Após o interregno de um ano, e independentemente de pedido do contratado, os preços iniciais serão reajustados, mediante a aplicação, pelo contratante, do índice IPCA</w:t>
      </w:r>
      <w:r>
        <w:rPr>
          <w:rFonts w:eastAsia="Arial" w:cs="Arial" w:ascii="Arial" w:hAnsi="Arial"/>
          <w:bCs/>
          <w:i/>
          <w:iCs/>
          <w:sz w:val="16"/>
          <w:szCs w:val="16"/>
        </w:rPr>
        <w:t>,</w:t>
      </w:r>
      <w:r>
        <w:rPr>
          <w:rFonts w:eastAsia="Arial" w:cs="Arial" w:ascii="Arial" w:hAnsi="Arial"/>
          <w:bCs/>
          <w:sz w:val="16"/>
          <w:szCs w:val="16"/>
        </w:rPr>
        <w:t xml:space="preserve"> exclusivamente para as obrigações iniciadas e concluídas após a ocorrência da anualidade.</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7.3. Nos reajustes subsequentes ao primeiro, o interregno mínimo de um ano será contado a partir dos efeitos financeiros do último reajuste.</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pPr>
        <w:pStyle w:val="Normal"/>
        <w:widowControl w:val="false"/>
        <w:ind w:right="-30"/>
        <w:jc w:val="both"/>
        <w:rPr>
          <w:rFonts w:ascii="Arial" w:hAnsi="Arial" w:eastAsia="Arial" w:cs="Arial"/>
          <w:bCs/>
          <w:sz w:val="16"/>
          <w:szCs w:val="16"/>
        </w:rPr>
      </w:pPr>
      <w:r>
        <w:rPr>
          <w:rFonts w:eastAsia="Arial" w:cs="Arial" w:ascii="Arial" w:hAnsi="Arial"/>
          <w:bCs/>
          <w:i/>
          <w:iCs/>
          <w:sz w:val="16"/>
          <w:szCs w:val="16"/>
        </w:rPr>
        <w:t>7.4.1. Fica o Contratado obrigado a apresentar memória de cálculo referente ao reajustamento de preços do valor remanescente, sempre que este ocorrer.</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7.5. Nas aferições finais, o(s) índice(s) utilizado(s) para reajuste será(ão), obrigatoriamente, o(s) definitivo(s).</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7.6. Caso o(s) índice(s) estabelecido(s) para reajustamento venha(m) a ser extinto(s) ou de qualquer forma não possa(m) mais ser utilizado(s), será(ão) adotado(s), em substituição, o(s) que vier(em) a ser determinado(s) pela legislação então em vigor.</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 xml:space="preserve">7.7. Na ausência de previsão legal quanto ao índice substituto, as partes elegerão novo índice oficial, para reajustamento do preço do valor remanescente, por meio de termo aditivo. </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7.8. O reajuste será realizado por apostilamento.</w:t>
      </w:r>
    </w:p>
    <w:p>
      <w:pPr>
        <w:pStyle w:val="Normal"/>
        <w:widowControl w:val="false"/>
        <w:ind w:right="-30"/>
        <w:jc w:val="both"/>
        <w:rPr>
          <w:rFonts w:ascii="Arial" w:hAnsi="Arial" w:eastAsia="Arial" w:cs="Arial"/>
          <w:bCs/>
          <w:sz w:val="16"/>
          <w:szCs w:val="16"/>
        </w:rPr>
      </w:pPr>
      <w:r>
        <w:rPr>
          <w:rFonts w:eastAsia="Arial" w:cs="Arial" w:ascii="Arial" w:hAnsi="Arial"/>
          <w:b/>
          <w:bCs/>
          <w:sz w:val="16"/>
          <w:szCs w:val="16"/>
        </w:rPr>
        <w:t xml:space="preserve">8. CLÁUSULA OITAVA - OBRIGAÇÕES DO CONTRATANTE </w:t>
      </w:r>
      <w:hyperlink r:id="rId38" w:tgtFrame="_blank">
        <w:r>
          <w:rPr>
            <w:rStyle w:val="Hyperlink"/>
            <w:rFonts w:eastAsia="Arial" w:cs="Arial" w:ascii="Arial" w:hAnsi="Arial"/>
            <w:b/>
            <w:bCs/>
            <w:sz w:val="16"/>
            <w:szCs w:val="16"/>
          </w:rPr>
          <w:t>(art. 92, X, XI e XIV</w:t>
        </w:r>
      </w:hyperlink>
      <w:r>
        <w:rPr>
          <w:rFonts w:eastAsia="Arial" w:cs="Arial" w:ascii="Arial" w:hAnsi="Arial"/>
          <w:b/>
          <w:bCs/>
          <w:sz w:val="16"/>
          <w:szCs w:val="16"/>
        </w:rPr>
        <w:t>)</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8.1. São obrigações do Contratante:</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8.2. Exigir o cumprimento de todas as obrigações assumidas pelo Contratado, de acordo com o contrato e seus anexos;</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8.3. Receber o objeto no prazo e condições estabelecidas no Termo de Referência;</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8.4. Notificar o Contratado por escrito da ocorrência de eventuais imperfeições, falhas ou irregularidades constatadas durante a execução contratual ou no fornecimento dos bens, fixando prazo para a sua correção, certificando-se de que as soluções por ele propostas sejam as mais adequadas.</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8.5. Notificar o Contratado, por escrito, sobre vícios, defeitos ou incorreções verificadas no objeto fornecido, para que seja por ele substituído, reparado ou corrigido, no total ou em parte, às suas expensas;</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8.6. Acompanhar e fiscalizar a execução do contrato e o cumprimento das obrigações pelo Contratado;</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 xml:space="preserve">8.7. 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39" w:tgtFrame="_blank">
        <w:r>
          <w:rPr>
            <w:rStyle w:val="Hyperlink"/>
            <w:rFonts w:eastAsia="Arial" w:cs="Arial" w:ascii="Arial" w:hAnsi="Arial"/>
            <w:bCs/>
            <w:sz w:val="16"/>
            <w:szCs w:val="16"/>
          </w:rPr>
          <w:t>art. 143 da Lei nº 14.133, de 2021</w:t>
        </w:r>
      </w:hyperlink>
      <w:r>
        <w:rPr>
          <w:rFonts w:eastAsia="Arial" w:cs="Arial" w:ascii="Arial" w:hAnsi="Arial"/>
          <w:bCs/>
          <w:sz w:val="16"/>
          <w:szCs w:val="16"/>
        </w:rPr>
        <w:t>;</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8.8. Efetuar o pagamento ao Contratado do valor correspondente à execução do objeto, no prazo, forma e condições estabelecidos no presente Contrato e no Termo de Referência;</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 xml:space="preserve">8.9. Aplicar ao Contratado as sanções previstas na lei e neste Contrato; </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8.10. Cientificar a Procuradoria Jurídica do Município para adoção das medidas cabíveis quando do descumprimento de obrigações pelo Contratado;</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8.12. A Administração terá o prazo de</w:t>
      </w:r>
      <w:r>
        <w:rPr>
          <w:rFonts w:eastAsia="Arial" w:cs="Arial" w:ascii="Arial" w:hAnsi="Arial"/>
          <w:bCs/>
          <w:i/>
          <w:iCs/>
          <w:sz w:val="16"/>
          <w:szCs w:val="16"/>
        </w:rPr>
        <w:t xml:space="preserve"> 10 (dez)</w:t>
      </w:r>
      <w:r>
        <w:rPr>
          <w:rFonts w:eastAsia="Arial" w:cs="Arial" w:ascii="Arial" w:hAnsi="Arial"/>
          <w:bCs/>
          <w:sz w:val="16"/>
          <w:szCs w:val="16"/>
        </w:rPr>
        <w:t xml:space="preserve">, a contar da data do protocolo do requerimento para decidir, admitida a prorrogação motivada, por igual período. </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8.13. Responder eventuais pedidos de reestabelecimento do equilíbrio econômico-financeiro feitos pelo contratado no prazo máximo de 10 (dez) dias úteis.</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8.14. Não responder por quaisquer compromissos assumidos pelo Contratado com terceiros, ainda que vinculados à execução do contrato, bem como por qualquer dano causado a terceiros em decorrência de ato do Contratado, de seus empregados, prepostos ou subordinados.</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8.15 Fiscalizar permanentemente a execução dos serviços, podendo realizar inspeções nos veículos, documentos, motoristas, itinerários, horários e demais condições da prestação contratual.</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8.16 Aprovar previamente toda substituição de veículo ou motorista, quando exigido pelo Termo de Referência.</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8.17 Comunicar imediatamente à contratada qualquer irregularidade constatada durante a execução contratual.</w:t>
      </w:r>
    </w:p>
    <w:p>
      <w:pPr>
        <w:pStyle w:val="Normal"/>
        <w:widowControl w:val="false"/>
        <w:ind w:right="-30"/>
        <w:jc w:val="both"/>
        <w:rPr>
          <w:rFonts w:ascii="Arial" w:hAnsi="Arial" w:eastAsia="Arial" w:cs="Arial"/>
          <w:bCs/>
          <w:sz w:val="16"/>
          <w:szCs w:val="16"/>
        </w:rPr>
      </w:pPr>
      <w:r>
        <w:rPr>
          <w:rFonts w:eastAsia="Arial" w:cs="Arial" w:ascii="Arial" w:hAnsi="Arial"/>
          <w:b/>
          <w:bCs/>
          <w:sz w:val="16"/>
          <w:szCs w:val="16"/>
        </w:rPr>
        <w:t>9. CLÁUSULA NONA - OBRIGAÇÕES DO CONTRATADO (</w:t>
      </w:r>
      <w:hyperlink r:id="rId40" w:tgtFrame="_blank">
        <w:r>
          <w:rPr>
            <w:rStyle w:val="Hyperlink"/>
            <w:rFonts w:eastAsia="Arial" w:cs="Arial" w:ascii="Arial" w:hAnsi="Arial"/>
            <w:b/>
            <w:bCs/>
            <w:sz w:val="16"/>
            <w:szCs w:val="16"/>
          </w:rPr>
          <w:t>art. 92, XIV, XVI e XVII</w:t>
        </w:r>
      </w:hyperlink>
      <w:r>
        <w:rPr>
          <w:rFonts w:eastAsia="Arial" w:cs="Arial" w:ascii="Arial" w:hAnsi="Arial"/>
          <w:b/>
          <w:bCs/>
          <w:sz w:val="16"/>
          <w:szCs w:val="16"/>
        </w:rPr>
        <w:t>)</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9.1. O Contratado deve cumprir todas as obrigações constantes deste Contrato e de seus anexos, assumindo como exclusivamente seus os riscos e as despesas decorrentes da boa e perfeita execução do objeto, observando, ainda, as obrigações a seguir dispostas:</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9.2. Atender às determinações regulares emitidas pelo fiscal do contrato ou autoridade superior (</w:t>
      </w:r>
      <w:hyperlink r:id="rId41" w:tgtFrame="_blank">
        <w:r>
          <w:rPr>
            <w:rStyle w:val="Hyperlink"/>
            <w:rFonts w:eastAsia="Arial" w:cs="Arial" w:ascii="Arial" w:hAnsi="Arial"/>
            <w:bCs/>
            <w:sz w:val="16"/>
            <w:szCs w:val="16"/>
          </w:rPr>
          <w:t>art. 137, II</w:t>
        </w:r>
      </w:hyperlink>
      <w:r>
        <w:rPr>
          <w:rFonts w:eastAsia="Arial" w:cs="Arial" w:ascii="Arial" w:hAnsi="Arial"/>
          <w:bCs/>
          <w:sz w:val="16"/>
          <w:szCs w:val="16"/>
        </w:rPr>
        <w:t>) e prestar todo esclarecimento ou informação por eles solicitados;</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9.3. Fornecer os bens em conformidade com as especificações do Termo de Referência, responsabilizando-se pela qualidade, integridade, transporte, embalagem, descarga e demais condições necessárias ao perfeito cumprimento do objeto contratual.</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9.4. Substituir, reparar ou corrigir, às suas expensas, os bens que apresentarem vícios, defeitos ou desconformidade com as especificações técnicas exigidas;</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 xml:space="preserve">9.5. Responsabilizar-se pelos vícios e danos decorrentes da execução do objeto, de acordo com o </w:t>
      </w:r>
      <w:hyperlink r:id="rId42" w:tgtFrame="_blank">
        <w:r>
          <w:rPr>
            <w:rStyle w:val="Hyperlink"/>
            <w:rFonts w:eastAsia="Arial" w:cs="Arial" w:ascii="Arial" w:hAnsi="Arial"/>
            <w:bCs/>
            <w:sz w:val="16"/>
            <w:szCs w:val="16"/>
          </w:rPr>
          <w:t>Código de Defesa do Consumidor (Lei nº 8.078, de 1990</w:t>
        </w:r>
      </w:hyperlink>
      <w:r>
        <w:rPr>
          <w:rFonts w:eastAsia="Arial" w:cs="Arial" w:ascii="Arial" w:hAnsi="Arial"/>
          <w:bCs/>
          <w:sz w:val="16"/>
          <w:szCs w:val="16"/>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9.6. A contratada deverá realizar a entrega técnica do equipamento, sem qualquer custo adicional para a Administração, prestando orientações quanto à operação, regulagem, segurança e manutenção preventiva aos servidores indicados pela Administração, como condição para o recebimento definitivo do objeto.</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 xml:space="preserve">9.7. Efetuar comunicação ao Contratante, assim que tiver ciência da impossibilidade de fornecer os bens no prazo contratado, para adoção de ações de contingência cabíveis. </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 xml:space="preserve">9.8. Não contratar, durante a vigência do contrato, cônjuge, companheiro ou parente em linha reta, colateral ou por afinidade, até o terceiro grau, de dirigente do contratante ou do fiscal ou gestor do contrato, nos termos do </w:t>
      </w:r>
      <w:hyperlink r:id="rId43" w:tgtFrame="_blank">
        <w:r>
          <w:rPr>
            <w:rStyle w:val="Hyperlink"/>
            <w:rFonts w:eastAsia="Arial" w:cs="Arial" w:ascii="Arial" w:hAnsi="Arial"/>
            <w:bCs/>
            <w:sz w:val="16"/>
            <w:szCs w:val="16"/>
          </w:rPr>
          <w:t>artigo 48, parágrafo único, da Lei nº 14.133, de 2021</w:t>
        </w:r>
      </w:hyperlink>
      <w:r>
        <w:rPr>
          <w:rFonts w:eastAsia="Arial" w:cs="Arial" w:ascii="Arial" w:hAnsi="Arial"/>
          <w:bCs/>
          <w:sz w:val="16"/>
          <w:szCs w:val="16"/>
        </w:rPr>
        <w:t>;</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9.9. Não permitir a utilização de qualquer trabalho do menor de dezesseis anos, exceto na condição de aprendiz para os maiores de quatorze anos, nem permitir a utilização do trabalho do menor de dezoito anos em trabalho noturno, perigoso ou insalubre;</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 xml:space="preserve">9.10. Manter durante toda a vigência do contrato, em compatibilidade com as obrigações assumidas, todas as condições exigidas para habilitação na licitação; </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9.11. Cumprir, durante todo o período de execução do contrato, a reserva de cargos prevista em lei para pessoa com deficiência, para reabilitado da Previdência Social ou para aprendiz, bem como as reservas de cargos previstas na legislação (</w:t>
      </w:r>
      <w:hyperlink r:id="rId44" w:tgtFrame="_blank">
        <w:r>
          <w:rPr>
            <w:rStyle w:val="Hyperlink"/>
            <w:rFonts w:eastAsia="Arial" w:cs="Arial" w:ascii="Arial" w:hAnsi="Arial"/>
            <w:bCs/>
            <w:sz w:val="16"/>
            <w:szCs w:val="16"/>
          </w:rPr>
          <w:t>art. 116</w:t>
        </w:r>
      </w:hyperlink>
      <w:r>
        <w:rPr>
          <w:rFonts w:eastAsia="Arial" w:cs="Arial" w:ascii="Arial" w:hAnsi="Arial"/>
          <w:bCs/>
          <w:sz w:val="16"/>
          <w:szCs w:val="16"/>
        </w:rPr>
        <w:t>);</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9.12. Comprovar a reserva de cargos a que se refere a cláusula acima, no prazo fixado pelo fiscal do contrato, com a indicação dos empregados que preencheram as referidas vagas (</w:t>
      </w:r>
      <w:hyperlink r:id="rId45" w:tgtFrame="_blank">
        <w:r>
          <w:rPr>
            <w:rStyle w:val="Hyperlink"/>
            <w:rFonts w:eastAsia="Arial" w:cs="Arial" w:ascii="Arial" w:hAnsi="Arial"/>
            <w:bCs/>
            <w:sz w:val="16"/>
            <w:szCs w:val="16"/>
          </w:rPr>
          <w:t>art. 116, parágrafo único</w:t>
        </w:r>
      </w:hyperlink>
      <w:r>
        <w:rPr>
          <w:rFonts w:eastAsia="Arial" w:cs="Arial" w:ascii="Arial" w:hAnsi="Arial"/>
          <w:bCs/>
          <w:sz w:val="16"/>
          <w:szCs w:val="16"/>
        </w:rPr>
        <w:t>);</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9.13. Guardar sigilo sobre todas as informações obtidas em decorrência do cumprimento do contrato;</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 xml:space="preserve">9.14.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6" w:tgtFrame="_blank">
        <w:r>
          <w:rPr>
            <w:rStyle w:val="Hyperlink"/>
            <w:rFonts w:eastAsia="Arial" w:cs="Arial" w:ascii="Arial" w:hAnsi="Arial"/>
            <w:bCs/>
            <w:sz w:val="16"/>
            <w:szCs w:val="16"/>
          </w:rPr>
          <w:t>art. 124, II, d, da Lei nº 14.133, de 2021</w:t>
        </w:r>
      </w:hyperlink>
      <w:r>
        <w:rPr>
          <w:rFonts w:eastAsia="Arial" w:cs="Arial" w:ascii="Arial" w:hAnsi="Arial"/>
          <w:bCs/>
          <w:sz w:val="16"/>
          <w:szCs w:val="16"/>
        </w:rPr>
        <w:t>;</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9.15. Cumprir, além dos postulados legais vigentes de âmbito federal, estadual ou municipal, as normas de segurança do Contratante;</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9.16. A contratada deverá entregar o equipamento acompanhado do manual de operação, manutenção e catálogo de peças, quando disponibilizado pelo fabricante.</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9.17. A contratada garantirá o equipamento pelo prazo mínimo de 12 (doze) meses, contados do recebimento definitivo, independentemente da garantia legal prevista no Código de Defesa do Consumidor.</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9.18. A contratada deverá disponibilizar assistência técnica durante o período de garantia, observadas as condições estabelecidas pelo fabricante, responsabilizando-se pelos reparos decorrentes de defeitos de fabricação, sem ônus para a Administração.</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9.19 Executar os serviços observando rigorosamente:</w:t>
      </w:r>
    </w:p>
    <w:p>
      <w:pPr>
        <w:pStyle w:val="Normal"/>
        <w:widowControl w:val="false"/>
        <w:numPr>
          <w:ilvl w:val="0"/>
          <w:numId w:val="31"/>
        </w:numPr>
        <w:ind w:hanging="360" w:left="720" w:right="-30"/>
        <w:jc w:val="both"/>
        <w:rPr>
          <w:rFonts w:ascii="Arial" w:hAnsi="Arial" w:eastAsia="Arial" w:cs="Arial"/>
          <w:bCs/>
          <w:sz w:val="16"/>
          <w:szCs w:val="16"/>
        </w:rPr>
      </w:pPr>
      <w:r>
        <w:rPr>
          <w:rFonts w:eastAsia="Arial" w:cs="Arial" w:ascii="Arial" w:hAnsi="Arial"/>
          <w:bCs/>
          <w:sz w:val="16"/>
          <w:szCs w:val="16"/>
        </w:rPr>
        <w:t xml:space="preserve">calendário escolar; </w:t>
      </w:r>
    </w:p>
    <w:p>
      <w:pPr>
        <w:pStyle w:val="Normal"/>
        <w:widowControl w:val="false"/>
        <w:numPr>
          <w:ilvl w:val="0"/>
          <w:numId w:val="31"/>
        </w:numPr>
        <w:ind w:hanging="360" w:left="720" w:right="-30"/>
        <w:jc w:val="both"/>
        <w:rPr>
          <w:rFonts w:ascii="Arial" w:hAnsi="Arial" w:eastAsia="Arial" w:cs="Arial"/>
          <w:bCs/>
          <w:sz w:val="16"/>
          <w:szCs w:val="16"/>
        </w:rPr>
      </w:pPr>
      <w:r>
        <w:rPr>
          <w:rFonts w:eastAsia="Arial" w:cs="Arial" w:ascii="Arial" w:hAnsi="Arial"/>
          <w:bCs/>
          <w:sz w:val="16"/>
          <w:szCs w:val="16"/>
        </w:rPr>
        <w:t xml:space="preserve">itinerários; </w:t>
      </w:r>
    </w:p>
    <w:p>
      <w:pPr>
        <w:pStyle w:val="Normal"/>
        <w:widowControl w:val="false"/>
        <w:numPr>
          <w:ilvl w:val="0"/>
          <w:numId w:val="31"/>
        </w:numPr>
        <w:ind w:hanging="360" w:left="720" w:right="-30"/>
        <w:jc w:val="both"/>
        <w:rPr>
          <w:rFonts w:ascii="Arial" w:hAnsi="Arial" w:eastAsia="Arial" w:cs="Arial"/>
          <w:bCs/>
          <w:sz w:val="16"/>
          <w:szCs w:val="16"/>
        </w:rPr>
      </w:pPr>
      <w:r>
        <w:rPr>
          <w:rFonts w:eastAsia="Arial" w:cs="Arial" w:ascii="Arial" w:hAnsi="Arial"/>
          <w:bCs/>
          <w:sz w:val="16"/>
          <w:szCs w:val="16"/>
        </w:rPr>
        <w:t xml:space="preserve">horários; </w:t>
      </w:r>
    </w:p>
    <w:p>
      <w:pPr>
        <w:pStyle w:val="Normal"/>
        <w:widowControl w:val="false"/>
        <w:numPr>
          <w:ilvl w:val="0"/>
          <w:numId w:val="31"/>
        </w:numPr>
        <w:ind w:hanging="360" w:left="720" w:right="-30"/>
        <w:jc w:val="both"/>
        <w:rPr>
          <w:rFonts w:ascii="Arial" w:hAnsi="Arial" w:eastAsia="Arial" w:cs="Arial"/>
          <w:bCs/>
          <w:sz w:val="16"/>
          <w:szCs w:val="16"/>
        </w:rPr>
      </w:pPr>
      <w:r>
        <w:rPr>
          <w:rFonts w:eastAsia="Arial" w:cs="Arial" w:ascii="Arial" w:hAnsi="Arial"/>
          <w:bCs/>
          <w:sz w:val="16"/>
          <w:szCs w:val="16"/>
        </w:rPr>
        <w:t xml:space="preserve">quilometragem; </w:t>
      </w:r>
    </w:p>
    <w:p>
      <w:pPr>
        <w:pStyle w:val="Normal"/>
        <w:widowControl w:val="false"/>
        <w:numPr>
          <w:ilvl w:val="0"/>
          <w:numId w:val="31"/>
        </w:numPr>
        <w:ind w:hanging="360" w:left="720" w:right="-30"/>
        <w:jc w:val="both"/>
        <w:rPr>
          <w:rFonts w:ascii="Arial" w:hAnsi="Arial" w:eastAsia="Arial" w:cs="Arial"/>
          <w:bCs/>
          <w:sz w:val="16"/>
          <w:szCs w:val="16"/>
        </w:rPr>
      </w:pPr>
      <w:r>
        <w:rPr>
          <w:rFonts w:eastAsia="Arial" w:cs="Arial" w:ascii="Arial" w:hAnsi="Arial"/>
          <w:bCs/>
          <w:sz w:val="16"/>
          <w:szCs w:val="16"/>
        </w:rPr>
        <w:t>determinação da Secretaria Municipal de Educação.</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9.20 Manter veículo reserva disponível durante toda a execução contratual.</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9.21 Substituir imediatamente veículo ou motorista quando determinado pela fiscalização.</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9.22 Manter durante toda a execução:</w:t>
      </w:r>
    </w:p>
    <w:p>
      <w:pPr>
        <w:pStyle w:val="Normal"/>
        <w:widowControl w:val="false"/>
        <w:numPr>
          <w:ilvl w:val="0"/>
          <w:numId w:val="32"/>
        </w:numPr>
        <w:ind w:hanging="360" w:left="720" w:right="-30"/>
        <w:jc w:val="both"/>
        <w:rPr>
          <w:rFonts w:ascii="Arial" w:hAnsi="Arial" w:eastAsia="Arial" w:cs="Arial"/>
          <w:bCs/>
          <w:sz w:val="16"/>
          <w:szCs w:val="16"/>
        </w:rPr>
      </w:pPr>
      <w:r>
        <w:rPr>
          <w:rFonts w:eastAsia="Arial" w:cs="Arial" w:ascii="Arial" w:hAnsi="Arial"/>
          <w:bCs/>
          <w:sz w:val="16"/>
          <w:szCs w:val="16"/>
        </w:rPr>
        <w:t xml:space="preserve">CRLV; </w:t>
      </w:r>
    </w:p>
    <w:p>
      <w:pPr>
        <w:pStyle w:val="Normal"/>
        <w:widowControl w:val="false"/>
        <w:numPr>
          <w:ilvl w:val="0"/>
          <w:numId w:val="32"/>
        </w:numPr>
        <w:ind w:hanging="360" w:left="720" w:right="-30"/>
        <w:jc w:val="both"/>
        <w:rPr>
          <w:rFonts w:ascii="Arial" w:hAnsi="Arial" w:eastAsia="Arial" w:cs="Arial"/>
          <w:bCs/>
          <w:sz w:val="16"/>
          <w:szCs w:val="16"/>
        </w:rPr>
      </w:pPr>
      <w:r>
        <w:rPr>
          <w:rFonts w:eastAsia="Arial" w:cs="Arial" w:ascii="Arial" w:hAnsi="Arial"/>
          <w:bCs/>
          <w:sz w:val="16"/>
          <w:szCs w:val="16"/>
        </w:rPr>
        <w:t xml:space="preserve">seguro obrigatório; </w:t>
      </w:r>
    </w:p>
    <w:p>
      <w:pPr>
        <w:pStyle w:val="Normal"/>
        <w:widowControl w:val="false"/>
        <w:numPr>
          <w:ilvl w:val="0"/>
          <w:numId w:val="32"/>
        </w:numPr>
        <w:ind w:hanging="360" w:left="720" w:right="-30"/>
        <w:jc w:val="both"/>
        <w:rPr>
          <w:rFonts w:ascii="Arial" w:hAnsi="Arial" w:eastAsia="Arial" w:cs="Arial"/>
          <w:bCs/>
          <w:sz w:val="16"/>
          <w:szCs w:val="16"/>
        </w:rPr>
      </w:pPr>
      <w:r>
        <w:rPr>
          <w:rFonts w:eastAsia="Arial" w:cs="Arial" w:ascii="Arial" w:hAnsi="Arial"/>
          <w:bCs/>
          <w:sz w:val="16"/>
          <w:szCs w:val="16"/>
        </w:rPr>
        <w:t xml:space="preserve">licenciamento; </w:t>
      </w:r>
    </w:p>
    <w:p>
      <w:pPr>
        <w:pStyle w:val="Normal"/>
        <w:widowControl w:val="false"/>
        <w:numPr>
          <w:ilvl w:val="0"/>
          <w:numId w:val="32"/>
        </w:numPr>
        <w:ind w:hanging="360" w:left="720" w:right="-30"/>
        <w:jc w:val="both"/>
        <w:rPr>
          <w:rFonts w:ascii="Arial" w:hAnsi="Arial" w:eastAsia="Arial" w:cs="Arial"/>
          <w:bCs/>
          <w:sz w:val="16"/>
          <w:szCs w:val="16"/>
        </w:rPr>
      </w:pPr>
      <w:r>
        <w:rPr>
          <w:rFonts w:eastAsia="Arial" w:cs="Arial" w:ascii="Arial" w:hAnsi="Arial"/>
          <w:bCs/>
          <w:sz w:val="16"/>
          <w:szCs w:val="16"/>
        </w:rPr>
        <w:t xml:space="preserve">vistoria; </w:t>
      </w:r>
    </w:p>
    <w:p>
      <w:pPr>
        <w:pStyle w:val="Normal"/>
        <w:widowControl w:val="false"/>
        <w:numPr>
          <w:ilvl w:val="0"/>
          <w:numId w:val="32"/>
        </w:numPr>
        <w:ind w:hanging="360" w:left="720" w:right="-30"/>
        <w:jc w:val="both"/>
        <w:rPr>
          <w:rFonts w:ascii="Arial" w:hAnsi="Arial" w:eastAsia="Arial" w:cs="Arial"/>
          <w:bCs/>
          <w:sz w:val="16"/>
          <w:szCs w:val="16"/>
        </w:rPr>
      </w:pPr>
      <w:r>
        <w:rPr>
          <w:rFonts w:eastAsia="Arial" w:cs="Arial" w:ascii="Arial" w:hAnsi="Arial"/>
          <w:bCs/>
          <w:sz w:val="16"/>
          <w:szCs w:val="16"/>
        </w:rPr>
        <w:t xml:space="preserve">tacógrafo; </w:t>
      </w:r>
    </w:p>
    <w:p>
      <w:pPr>
        <w:pStyle w:val="Normal"/>
        <w:widowControl w:val="false"/>
        <w:numPr>
          <w:ilvl w:val="0"/>
          <w:numId w:val="32"/>
        </w:numPr>
        <w:ind w:hanging="360" w:left="720" w:right="-30"/>
        <w:jc w:val="both"/>
        <w:rPr>
          <w:rFonts w:ascii="Arial" w:hAnsi="Arial" w:eastAsia="Arial" w:cs="Arial"/>
          <w:bCs/>
          <w:sz w:val="16"/>
          <w:szCs w:val="16"/>
        </w:rPr>
      </w:pPr>
      <w:r>
        <w:rPr>
          <w:rFonts w:eastAsia="Arial" w:cs="Arial" w:ascii="Arial" w:hAnsi="Arial"/>
          <w:bCs/>
          <w:sz w:val="16"/>
          <w:szCs w:val="16"/>
        </w:rPr>
        <w:t>demais documentos.</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9.23 Garantir que os motoristas possuam:</w:t>
      </w:r>
    </w:p>
    <w:p>
      <w:pPr>
        <w:pStyle w:val="Normal"/>
        <w:widowControl w:val="false"/>
        <w:numPr>
          <w:ilvl w:val="0"/>
          <w:numId w:val="33"/>
        </w:numPr>
        <w:ind w:hanging="360" w:left="720" w:right="-30"/>
        <w:jc w:val="both"/>
        <w:rPr>
          <w:rFonts w:ascii="Arial" w:hAnsi="Arial" w:eastAsia="Arial" w:cs="Arial"/>
          <w:bCs/>
          <w:sz w:val="16"/>
          <w:szCs w:val="16"/>
        </w:rPr>
      </w:pPr>
      <w:r>
        <w:rPr>
          <w:rFonts w:eastAsia="Arial" w:cs="Arial" w:ascii="Arial" w:hAnsi="Arial"/>
          <w:bCs/>
          <w:sz w:val="16"/>
          <w:szCs w:val="16"/>
        </w:rPr>
        <w:t xml:space="preserve">CNH categoria adequada; </w:t>
      </w:r>
    </w:p>
    <w:p>
      <w:pPr>
        <w:pStyle w:val="Normal"/>
        <w:widowControl w:val="false"/>
        <w:numPr>
          <w:ilvl w:val="0"/>
          <w:numId w:val="33"/>
        </w:numPr>
        <w:ind w:hanging="360" w:left="720" w:right="-30"/>
        <w:jc w:val="both"/>
        <w:rPr>
          <w:rFonts w:ascii="Arial" w:hAnsi="Arial" w:eastAsia="Arial" w:cs="Arial"/>
          <w:bCs/>
          <w:sz w:val="16"/>
          <w:szCs w:val="16"/>
        </w:rPr>
      </w:pPr>
      <w:r>
        <w:rPr>
          <w:rFonts w:eastAsia="Arial" w:cs="Arial" w:ascii="Arial" w:hAnsi="Arial"/>
          <w:bCs/>
          <w:sz w:val="16"/>
          <w:szCs w:val="16"/>
        </w:rPr>
        <w:t xml:space="preserve">curso especializado; </w:t>
      </w:r>
    </w:p>
    <w:p>
      <w:pPr>
        <w:pStyle w:val="Normal"/>
        <w:widowControl w:val="false"/>
        <w:numPr>
          <w:ilvl w:val="0"/>
          <w:numId w:val="33"/>
        </w:numPr>
        <w:ind w:hanging="360" w:left="720" w:right="-30"/>
        <w:jc w:val="both"/>
        <w:rPr>
          <w:rFonts w:ascii="Arial" w:hAnsi="Arial" w:eastAsia="Arial" w:cs="Arial"/>
          <w:bCs/>
          <w:sz w:val="16"/>
          <w:szCs w:val="16"/>
        </w:rPr>
      </w:pPr>
      <w:r>
        <w:rPr>
          <w:rFonts w:eastAsia="Arial" w:cs="Arial" w:ascii="Arial" w:hAnsi="Arial"/>
          <w:bCs/>
          <w:sz w:val="16"/>
          <w:szCs w:val="16"/>
        </w:rPr>
        <w:t xml:space="preserve">exame toxicológico quando exigível; </w:t>
      </w:r>
    </w:p>
    <w:p>
      <w:pPr>
        <w:pStyle w:val="Normal"/>
        <w:widowControl w:val="false"/>
        <w:numPr>
          <w:ilvl w:val="0"/>
          <w:numId w:val="33"/>
        </w:numPr>
        <w:ind w:hanging="360" w:left="720" w:right="-30"/>
        <w:jc w:val="both"/>
        <w:rPr>
          <w:rFonts w:ascii="Arial" w:hAnsi="Arial" w:eastAsia="Arial" w:cs="Arial"/>
          <w:bCs/>
          <w:sz w:val="16"/>
          <w:szCs w:val="16"/>
        </w:rPr>
      </w:pPr>
      <w:r>
        <w:rPr>
          <w:rFonts w:eastAsia="Arial" w:cs="Arial" w:ascii="Arial" w:hAnsi="Arial"/>
          <w:bCs/>
          <w:sz w:val="16"/>
          <w:szCs w:val="16"/>
        </w:rPr>
        <w:t>certidões exigidas pela legislação.</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9.24 Cumprir integralmente as normas do:</w:t>
      </w:r>
    </w:p>
    <w:p>
      <w:pPr>
        <w:pStyle w:val="Normal"/>
        <w:widowControl w:val="false"/>
        <w:numPr>
          <w:ilvl w:val="0"/>
          <w:numId w:val="34"/>
        </w:numPr>
        <w:ind w:hanging="360" w:left="720" w:right="-30"/>
        <w:jc w:val="both"/>
        <w:rPr>
          <w:rFonts w:ascii="Arial" w:hAnsi="Arial" w:eastAsia="Arial" w:cs="Arial"/>
          <w:bCs/>
          <w:sz w:val="16"/>
          <w:szCs w:val="16"/>
        </w:rPr>
      </w:pPr>
      <w:r>
        <w:rPr>
          <w:rFonts w:eastAsia="Arial" w:cs="Arial" w:ascii="Arial" w:hAnsi="Arial"/>
          <w:bCs/>
          <w:sz w:val="16"/>
          <w:szCs w:val="16"/>
        </w:rPr>
        <w:t xml:space="preserve">CTB; </w:t>
      </w:r>
    </w:p>
    <w:p>
      <w:pPr>
        <w:pStyle w:val="Normal"/>
        <w:widowControl w:val="false"/>
        <w:numPr>
          <w:ilvl w:val="0"/>
          <w:numId w:val="34"/>
        </w:numPr>
        <w:ind w:hanging="360" w:left="720" w:right="-30"/>
        <w:jc w:val="both"/>
        <w:rPr>
          <w:rFonts w:ascii="Arial" w:hAnsi="Arial" w:eastAsia="Arial" w:cs="Arial"/>
          <w:bCs/>
          <w:sz w:val="16"/>
          <w:szCs w:val="16"/>
        </w:rPr>
      </w:pPr>
      <w:r>
        <w:rPr>
          <w:rFonts w:eastAsia="Arial" w:cs="Arial" w:ascii="Arial" w:hAnsi="Arial"/>
          <w:bCs/>
          <w:sz w:val="16"/>
          <w:szCs w:val="16"/>
        </w:rPr>
        <w:t xml:space="preserve">CONTRAN; </w:t>
      </w:r>
    </w:p>
    <w:p>
      <w:pPr>
        <w:pStyle w:val="Normal"/>
        <w:widowControl w:val="false"/>
        <w:numPr>
          <w:ilvl w:val="0"/>
          <w:numId w:val="34"/>
        </w:numPr>
        <w:ind w:hanging="360" w:left="720" w:right="-30"/>
        <w:jc w:val="both"/>
        <w:rPr>
          <w:rFonts w:ascii="Arial" w:hAnsi="Arial" w:eastAsia="Arial" w:cs="Arial"/>
          <w:bCs/>
          <w:sz w:val="16"/>
          <w:szCs w:val="16"/>
        </w:rPr>
      </w:pPr>
      <w:r>
        <w:rPr>
          <w:rFonts w:eastAsia="Arial" w:cs="Arial" w:ascii="Arial" w:hAnsi="Arial"/>
          <w:bCs/>
          <w:sz w:val="16"/>
          <w:szCs w:val="16"/>
        </w:rPr>
        <w:t xml:space="preserve">DETRAN/RS; </w:t>
      </w:r>
    </w:p>
    <w:p>
      <w:pPr>
        <w:pStyle w:val="Normal"/>
        <w:widowControl w:val="false"/>
        <w:numPr>
          <w:ilvl w:val="0"/>
          <w:numId w:val="34"/>
        </w:numPr>
        <w:ind w:hanging="360" w:left="720" w:right="-30"/>
        <w:jc w:val="both"/>
        <w:rPr>
          <w:rFonts w:ascii="Arial" w:hAnsi="Arial" w:eastAsia="Arial" w:cs="Arial"/>
          <w:bCs/>
          <w:sz w:val="16"/>
          <w:szCs w:val="16"/>
        </w:rPr>
      </w:pPr>
      <w:r>
        <w:rPr>
          <w:rFonts w:eastAsia="Arial" w:cs="Arial" w:ascii="Arial" w:hAnsi="Arial"/>
          <w:bCs/>
          <w:sz w:val="16"/>
          <w:szCs w:val="16"/>
        </w:rPr>
        <w:t>legislação do transporte escolar.</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9.25 Apresentar imediatamente sempre que solicitado:</w:t>
      </w:r>
    </w:p>
    <w:p>
      <w:pPr>
        <w:pStyle w:val="Normal"/>
        <w:widowControl w:val="false"/>
        <w:numPr>
          <w:ilvl w:val="0"/>
          <w:numId w:val="35"/>
        </w:numPr>
        <w:ind w:hanging="360" w:left="720" w:right="-30"/>
        <w:jc w:val="both"/>
        <w:rPr>
          <w:rFonts w:ascii="Arial" w:hAnsi="Arial" w:eastAsia="Arial" w:cs="Arial"/>
          <w:bCs/>
          <w:sz w:val="16"/>
          <w:szCs w:val="16"/>
        </w:rPr>
      </w:pPr>
      <w:r>
        <w:rPr>
          <w:rFonts w:eastAsia="Arial" w:cs="Arial" w:ascii="Arial" w:hAnsi="Arial"/>
          <w:bCs/>
          <w:sz w:val="16"/>
          <w:szCs w:val="16"/>
        </w:rPr>
        <w:t xml:space="preserve">documentos dos veículos; </w:t>
      </w:r>
    </w:p>
    <w:p>
      <w:pPr>
        <w:pStyle w:val="Normal"/>
        <w:widowControl w:val="false"/>
        <w:numPr>
          <w:ilvl w:val="0"/>
          <w:numId w:val="35"/>
        </w:numPr>
        <w:ind w:hanging="360" w:left="720" w:right="-30"/>
        <w:jc w:val="both"/>
        <w:rPr>
          <w:rFonts w:ascii="Arial" w:hAnsi="Arial" w:eastAsia="Arial" w:cs="Arial"/>
          <w:bCs/>
          <w:sz w:val="16"/>
          <w:szCs w:val="16"/>
        </w:rPr>
      </w:pPr>
      <w:r>
        <w:rPr>
          <w:rFonts w:eastAsia="Arial" w:cs="Arial" w:ascii="Arial" w:hAnsi="Arial"/>
          <w:bCs/>
          <w:sz w:val="16"/>
          <w:szCs w:val="16"/>
        </w:rPr>
        <w:t xml:space="preserve">documentos dos motoristas; </w:t>
      </w:r>
    </w:p>
    <w:p>
      <w:pPr>
        <w:pStyle w:val="Normal"/>
        <w:widowControl w:val="false"/>
        <w:numPr>
          <w:ilvl w:val="0"/>
          <w:numId w:val="35"/>
        </w:numPr>
        <w:ind w:hanging="360" w:left="720" w:right="-30"/>
        <w:jc w:val="both"/>
        <w:rPr>
          <w:rFonts w:ascii="Arial" w:hAnsi="Arial" w:eastAsia="Arial" w:cs="Arial"/>
          <w:bCs/>
          <w:sz w:val="16"/>
          <w:szCs w:val="16"/>
        </w:rPr>
      </w:pPr>
      <w:r>
        <w:rPr>
          <w:rFonts w:eastAsia="Arial" w:cs="Arial" w:ascii="Arial" w:hAnsi="Arial"/>
          <w:bCs/>
          <w:sz w:val="16"/>
          <w:szCs w:val="16"/>
        </w:rPr>
        <w:t xml:space="preserve">relatórios; </w:t>
      </w:r>
    </w:p>
    <w:p>
      <w:pPr>
        <w:pStyle w:val="Normal"/>
        <w:widowControl w:val="false"/>
        <w:numPr>
          <w:ilvl w:val="0"/>
          <w:numId w:val="35"/>
        </w:numPr>
        <w:ind w:hanging="360" w:left="720" w:right="-30"/>
        <w:jc w:val="both"/>
        <w:rPr>
          <w:rFonts w:ascii="Arial" w:hAnsi="Arial" w:eastAsia="Arial" w:cs="Arial"/>
          <w:bCs/>
          <w:sz w:val="16"/>
          <w:szCs w:val="16"/>
        </w:rPr>
      </w:pPr>
      <w:r>
        <w:rPr>
          <w:rFonts w:eastAsia="Arial" w:cs="Arial" w:ascii="Arial" w:hAnsi="Arial"/>
          <w:bCs/>
          <w:sz w:val="16"/>
          <w:szCs w:val="16"/>
        </w:rPr>
        <w:t>comprovação das revisões.</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9.26 Responsabilizar-se pela manutenção preventiva e corretiva.</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9.27 Não interromper os serviços.</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9.28 Responsabilizar-se integralmente pelos encargos trabalhistas.</w:t>
      </w:r>
    </w:p>
    <w:p>
      <w:pPr>
        <w:pStyle w:val="Normal"/>
        <w:widowControl w:val="false"/>
        <w:ind w:right="-30"/>
        <w:jc w:val="both"/>
        <w:rPr>
          <w:rFonts w:ascii="Arial" w:hAnsi="Arial" w:eastAsia="Arial" w:cs="Arial"/>
          <w:bCs/>
          <w:sz w:val="16"/>
          <w:szCs w:val="16"/>
        </w:rPr>
      </w:pPr>
      <w:r>
        <w:rPr>
          <w:rFonts w:eastAsia="Arial" w:cs="Arial" w:ascii="Arial" w:hAnsi="Arial"/>
          <w:b/>
          <w:bCs/>
          <w:sz w:val="16"/>
          <w:szCs w:val="16"/>
        </w:rPr>
        <w:t>10. CLÁUSULA DÉCIMA- OBRIGAÇÕES PERTINENTES À LGPD</w:t>
      </w:r>
    </w:p>
    <w:p>
      <w:pPr>
        <w:pStyle w:val="Normal"/>
        <w:widowControl w:val="false"/>
        <w:ind w:right="-30"/>
        <w:jc w:val="both"/>
        <w:rPr>
          <w:rFonts w:ascii="Arial" w:hAnsi="Arial" w:eastAsia="Arial" w:cs="Arial"/>
          <w:bCs/>
          <w:sz w:val="16"/>
          <w:szCs w:val="16"/>
        </w:rPr>
      </w:pPr>
      <w:r>
        <w:rPr>
          <w:rFonts w:eastAsia="Arial" w:cs="Arial" w:ascii="Arial" w:hAnsi="Arial"/>
          <w:bCs/>
          <w:i/>
          <w:iCs/>
          <w:sz w:val="16"/>
          <w:szCs w:val="16"/>
        </w:rPr>
        <w:t xml:space="preserve">10.1. As partes deverão cumprir a </w:t>
      </w:r>
      <w:hyperlink r:id="rId47" w:tgtFrame="_blank">
        <w:r>
          <w:rPr>
            <w:rStyle w:val="Hyperlink"/>
            <w:rFonts w:eastAsia="Arial" w:cs="Arial" w:ascii="Arial" w:hAnsi="Arial"/>
            <w:bCs/>
            <w:i/>
            <w:iCs/>
            <w:sz w:val="16"/>
            <w:szCs w:val="16"/>
          </w:rPr>
          <w:t>Lei nº 13.709, de 14 de agosto de 2018 (LGPD)</w:t>
        </w:r>
      </w:hyperlink>
      <w:r>
        <w:rPr>
          <w:rFonts w:eastAsia="Arial" w:cs="Arial" w:ascii="Arial" w:hAnsi="Arial"/>
          <w:bCs/>
          <w:i/>
          <w:iCs/>
          <w:sz w:val="16"/>
          <w:szCs w:val="16"/>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pPr>
        <w:pStyle w:val="Normal"/>
        <w:widowControl w:val="false"/>
        <w:ind w:right="-30"/>
        <w:jc w:val="both"/>
        <w:rPr>
          <w:rFonts w:ascii="Arial" w:hAnsi="Arial" w:eastAsia="Arial" w:cs="Arial"/>
          <w:bCs/>
          <w:sz w:val="16"/>
          <w:szCs w:val="16"/>
        </w:rPr>
      </w:pPr>
      <w:r>
        <w:rPr>
          <w:rFonts w:eastAsia="Arial" w:cs="Arial" w:ascii="Arial" w:hAnsi="Arial"/>
          <w:bCs/>
          <w:i/>
          <w:iCs/>
          <w:sz w:val="16"/>
          <w:szCs w:val="16"/>
        </w:rPr>
        <w:t xml:space="preserve">10.2. Os dados obtidos somente poderão ser utilizados para as finalidades que justificaram seu acesso e de acordo com a boa-fé e com os princípios do </w:t>
      </w:r>
      <w:hyperlink r:id="rId48" w:tgtFrame="_blank">
        <w:r>
          <w:rPr>
            <w:rStyle w:val="Hyperlink"/>
            <w:rFonts w:eastAsia="Arial" w:cs="Arial" w:ascii="Arial" w:hAnsi="Arial"/>
            <w:bCs/>
            <w:i/>
            <w:iCs/>
            <w:sz w:val="16"/>
            <w:szCs w:val="16"/>
          </w:rPr>
          <w:t>art. 6º da LGPD</w:t>
        </w:r>
      </w:hyperlink>
      <w:r>
        <w:rPr>
          <w:rFonts w:eastAsia="Arial" w:cs="Arial" w:ascii="Arial" w:hAnsi="Arial"/>
          <w:bCs/>
          <w:i/>
          <w:iCs/>
          <w:sz w:val="16"/>
          <w:szCs w:val="16"/>
        </w:rPr>
        <w:t xml:space="preserve">. </w:t>
      </w:r>
    </w:p>
    <w:p>
      <w:pPr>
        <w:pStyle w:val="Normal"/>
        <w:widowControl w:val="false"/>
        <w:ind w:right="-30"/>
        <w:jc w:val="both"/>
        <w:rPr>
          <w:rFonts w:ascii="Arial" w:hAnsi="Arial" w:eastAsia="Arial" w:cs="Arial"/>
          <w:bCs/>
          <w:sz w:val="16"/>
          <w:szCs w:val="16"/>
        </w:rPr>
      </w:pPr>
      <w:r>
        <w:rPr>
          <w:rFonts w:eastAsia="Arial" w:cs="Arial" w:ascii="Arial" w:hAnsi="Arial"/>
          <w:bCs/>
          <w:i/>
          <w:iCs/>
          <w:sz w:val="16"/>
          <w:szCs w:val="16"/>
        </w:rPr>
        <w:t>10.3. É vedado o compartilhamento com terceiros dos dados obtidos fora das hipóteses permitidas em Lei.</w:t>
      </w:r>
    </w:p>
    <w:p>
      <w:pPr>
        <w:pStyle w:val="Normal"/>
        <w:widowControl w:val="false"/>
        <w:ind w:right="-30"/>
        <w:jc w:val="both"/>
        <w:rPr>
          <w:rFonts w:ascii="Arial" w:hAnsi="Arial" w:eastAsia="Arial" w:cs="Arial"/>
          <w:bCs/>
          <w:sz w:val="16"/>
          <w:szCs w:val="16"/>
        </w:rPr>
      </w:pPr>
      <w:r>
        <w:rPr>
          <w:rFonts w:eastAsia="Arial" w:cs="Arial" w:ascii="Arial" w:hAnsi="Arial"/>
          <w:bCs/>
          <w:i/>
          <w:iCs/>
          <w:sz w:val="16"/>
          <w:szCs w:val="16"/>
        </w:rPr>
        <w:t xml:space="preserve">10.4. A Administração deverá ser informada no prazo de 5 (cinco) dias úteis sobre todos os contratos de sub operação firmados ou que venham a ser celebrados pelo Contratado. </w:t>
      </w:r>
    </w:p>
    <w:p>
      <w:pPr>
        <w:pStyle w:val="Normal"/>
        <w:widowControl w:val="false"/>
        <w:ind w:right="-30"/>
        <w:jc w:val="both"/>
        <w:rPr>
          <w:rFonts w:ascii="Arial" w:hAnsi="Arial" w:eastAsia="Arial" w:cs="Arial"/>
          <w:bCs/>
          <w:sz w:val="16"/>
          <w:szCs w:val="16"/>
        </w:rPr>
      </w:pPr>
      <w:r>
        <w:rPr>
          <w:rFonts w:eastAsia="Arial" w:cs="Arial" w:ascii="Arial" w:hAnsi="Arial"/>
          <w:bCs/>
          <w:i/>
          <w:iCs/>
          <w:sz w:val="16"/>
          <w:szCs w:val="16"/>
        </w:rPr>
        <w:t xml:space="preserve">10.5. Terminado o tratamento dos dados nos termos do </w:t>
      </w:r>
      <w:hyperlink r:id="rId49" w:tgtFrame="_blank">
        <w:r>
          <w:rPr>
            <w:rStyle w:val="Hyperlink"/>
            <w:rFonts w:eastAsia="Arial" w:cs="Arial" w:ascii="Arial" w:hAnsi="Arial"/>
            <w:bCs/>
            <w:i/>
            <w:iCs/>
            <w:sz w:val="16"/>
            <w:szCs w:val="16"/>
          </w:rPr>
          <w:t>art. 15 da LGPD</w:t>
        </w:r>
      </w:hyperlink>
      <w:r>
        <w:rPr>
          <w:rFonts w:eastAsia="Arial" w:cs="Arial" w:ascii="Arial" w:hAnsi="Arial"/>
          <w:bCs/>
          <w:i/>
          <w:iCs/>
          <w:sz w:val="16"/>
          <w:szCs w:val="16"/>
        </w:rPr>
        <w:t xml:space="preserve">, é dever do contratado eliminá-los, com exceção das hipóteses do </w:t>
      </w:r>
      <w:hyperlink r:id="rId50" w:tgtFrame="_blank">
        <w:r>
          <w:rPr>
            <w:rStyle w:val="Hyperlink"/>
            <w:rFonts w:eastAsia="Arial" w:cs="Arial" w:ascii="Arial" w:hAnsi="Arial"/>
            <w:bCs/>
            <w:i/>
            <w:iCs/>
            <w:sz w:val="16"/>
            <w:szCs w:val="16"/>
          </w:rPr>
          <w:t>art. 16 da LGPD</w:t>
        </w:r>
      </w:hyperlink>
      <w:r>
        <w:rPr>
          <w:rFonts w:eastAsia="Arial" w:cs="Arial" w:ascii="Arial" w:hAnsi="Arial"/>
          <w:bCs/>
          <w:i/>
          <w:iCs/>
          <w:sz w:val="16"/>
          <w:szCs w:val="16"/>
        </w:rPr>
        <w:t xml:space="preserve">, incluindo aquelas em que houver necessidade de guarda de documentação para fins de comprovação do cumprimento de obrigações legais ou contratuais e somente enquanto não prescritas essas obrigações. </w:t>
      </w:r>
    </w:p>
    <w:p>
      <w:pPr>
        <w:pStyle w:val="Normal"/>
        <w:widowControl w:val="false"/>
        <w:ind w:right="-30"/>
        <w:jc w:val="both"/>
        <w:rPr>
          <w:rFonts w:ascii="Arial" w:hAnsi="Arial" w:eastAsia="Arial" w:cs="Arial"/>
          <w:bCs/>
          <w:sz w:val="16"/>
          <w:szCs w:val="16"/>
        </w:rPr>
      </w:pPr>
      <w:r>
        <w:rPr>
          <w:rFonts w:eastAsia="Arial" w:cs="Arial" w:ascii="Arial" w:hAnsi="Arial"/>
          <w:bCs/>
          <w:i/>
          <w:iCs/>
          <w:sz w:val="16"/>
          <w:szCs w:val="16"/>
        </w:rPr>
        <w:t xml:space="preserve">10.6. É dever do contratado orientar e treinar seus empregados sobre os deveres, requisitos e responsabilidades decorrentes da LGPD. </w:t>
      </w:r>
    </w:p>
    <w:p>
      <w:pPr>
        <w:pStyle w:val="Normal"/>
        <w:widowControl w:val="false"/>
        <w:ind w:right="-30"/>
        <w:jc w:val="both"/>
        <w:rPr>
          <w:rFonts w:ascii="Arial" w:hAnsi="Arial" w:eastAsia="Arial" w:cs="Arial"/>
          <w:bCs/>
          <w:sz w:val="16"/>
          <w:szCs w:val="16"/>
        </w:rPr>
      </w:pPr>
      <w:r>
        <w:rPr>
          <w:rFonts w:eastAsia="Arial" w:cs="Arial" w:ascii="Arial" w:hAnsi="Arial"/>
          <w:bCs/>
          <w:i/>
          <w:iCs/>
          <w:sz w:val="16"/>
          <w:szCs w:val="16"/>
        </w:rPr>
        <w:t>10.7. O Contratado deverá exigir de sub operadores e subcontratados o cumprimento dos deveres da presente cláusula, permanecendo integralmente responsável por garantir sua observância.</w:t>
      </w:r>
    </w:p>
    <w:p>
      <w:pPr>
        <w:pStyle w:val="Normal"/>
        <w:widowControl w:val="false"/>
        <w:ind w:right="-30"/>
        <w:jc w:val="both"/>
        <w:rPr>
          <w:rFonts w:ascii="Arial" w:hAnsi="Arial" w:eastAsia="Arial" w:cs="Arial"/>
          <w:bCs/>
          <w:sz w:val="16"/>
          <w:szCs w:val="16"/>
        </w:rPr>
      </w:pPr>
      <w:r>
        <w:rPr>
          <w:rFonts w:eastAsia="Arial" w:cs="Arial" w:ascii="Arial" w:hAnsi="Arial"/>
          <w:bCs/>
          <w:i/>
          <w:iCs/>
          <w:sz w:val="16"/>
          <w:szCs w:val="16"/>
        </w:rPr>
        <w:t xml:space="preserve">10.8. O Contratante poderá realizar diligência para aferir o cumprimento dessa cláusula, devendo o Contratado atender prontamente eventuais pedidos de comprovação formulados. </w:t>
      </w:r>
    </w:p>
    <w:p>
      <w:pPr>
        <w:pStyle w:val="Normal"/>
        <w:widowControl w:val="false"/>
        <w:ind w:right="-30"/>
        <w:jc w:val="both"/>
        <w:rPr>
          <w:rFonts w:ascii="Arial" w:hAnsi="Arial" w:eastAsia="Arial" w:cs="Arial"/>
          <w:bCs/>
          <w:sz w:val="16"/>
          <w:szCs w:val="16"/>
        </w:rPr>
      </w:pPr>
      <w:r>
        <w:rPr>
          <w:rFonts w:eastAsia="Arial" w:cs="Arial" w:ascii="Arial" w:hAnsi="Arial"/>
          <w:bCs/>
          <w:i/>
          <w:iCs/>
          <w:sz w:val="16"/>
          <w:szCs w:val="16"/>
        </w:rPr>
        <w:t xml:space="preserve">10.9. O Contratado deverá prestar, no prazo fixado pelo Contratante, prorrogável justificadamente, quaisquer informações acerca dos dados pessoais para cumprimento da LGPD, inclusive quanto a eventual descarte realizado. </w:t>
      </w:r>
    </w:p>
    <w:p>
      <w:pPr>
        <w:pStyle w:val="Normal"/>
        <w:widowControl w:val="false"/>
        <w:ind w:right="-30"/>
        <w:jc w:val="both"/>
        <w:rPr>
          <w:rFonts w:ascii="Arial" w:hAnsi="Arial" w:eastAsia="Arial" w:cs="Arial"/>
          <w:bCs/>
          <w:sz w:val="16"/>
          <w:szCs w:val="16"/>
        </w:rPr>
      </w:pPr>
      <w:r>
        <w:rPr>
          <w:rFonts w:eastAsia="Arial" w:cs="Arial" w:ascii="Arial" w:hAnsi="Arial"/>
          <w:bCs/>
          <w:i/>
          <w:iCs/>
          <w:sz w:val="16"/>
          <w:szCs w:val="16"/>
        </w:rPr>
        <w:t>10.10. Bancos de dados formados a partir de contratos administrativos, notadamente aqueles que se proponham a armazenar dados pessoais, devem ser mantidos em ambiente virtual controlado, com registro individual rastreável de tratamentos realizados (</w:t>
      </w:r>
      <w:hyperlink r:id="rId51" w:tgtFrame="_blank">
        <w:r>
          <w:rPr>
            <w:rStyle w:val="Hyperlink"/>
            <w:rFonts w:eastAsia="Arial" w:cs="Arial" w:ascii="Arial" w:hAnsi="Arial"/>
            <w:bCs/>
            <w:i/>
            <w:iCs/>
            <w:sz w:val="16"/>
            <w:szCs w:val="16"/>
          </w:rPr>
          <w:t>LGPD, art. 37</w:t>
        </w:r>
      </w:hyperlink>
      <w:r>
        <w:rPr>
          <w:rFonts w:eastAsia="Arial" w:cs="Arial" w:ascii="Arial" w:hAnsi="Arial"/>
          <w:bCs/>
          <w:i/>
          <w:iCs/>
          <w:sz w:val="16"/>
          <w:szCs w:val="16"/>
        </w:rPr>
        <w:t>), com cada acesso, data, horário e registro da finalidade, para efeito de responsabilização, em caso de eventuais omissões, desvios ou abusos.</w:t>
      </w:r>
    </w:p>
    <w:p>
      <w:pPr>
        <w:pStyle w:val="Normal"/>
        <w:widowControl w:val="false"/>
        <w:ind w:right="-30"/>
        <w:jc w:val="both"/>
        <w:rPr>
          <w:rFonts w:ascii="Arial" w:hAnsi="Arial" w:eastAsia="Arial" w:cs="Arial"/>
          <w:bCs/>
          <w:sz w:val="16"/>
          <w:szCs w:val="16"/>
        </w:rPr>
      </w:pPr>
      <w:r>
        <w:rPr>
          <w:rFonts w:eastAsia="Arial" w:cs="Arial" w:ascii="Arial" w:hAnsi="Arial"/>
          <w:bCs/>
          <w:i/>
          <w:iCs/>
          <w:sz w:val="16"/>
          <w:szCs w:val="16"/>
        </w:rPr>
        <w:t>10.10.1. Os referidos bancos de dados devem ser desenvolvidos em formato interoperável, a fim de garantir a reutilização desses dados pela Administração nas hipóteses previstas na LGPD.</w:t>
      </w:r>
    </w:p>
    <w:p>
      <w:pPr>
        <w:pStyle w:val="Normal"/>
        <w:widowControl w:val="false"/>
        <w:ind w:right="-30"/>
        <w:jc w:val="both"/>
        <w:rPr>
          <w:rFonts w:ascii="Arial" w:hAnsi="Arial" w:eastAsia="Arial" w:cs="Arial"/>
          <w:bCs/>
          <w:sz w:val="16"/>
          <w:szCs w:val="16"/>
        </w:rPr>
      </w:pPr>
      <w:r>
        <w:rPr>
          <w:rFonts w:eastAsia="Arial" w:cs="Arial" w:ascii="Arial" w:hAnsi="Arial"/>
          <w:bCs/>
          <w:i/>
          <w:iCs/>
          <w:sz w:val="16"/>
          <w:szCs w:val="16"/>
        </w:rPr>
        <w:t>10.11. O contrato está sujeito a ser alterado nos procedimentos pertinentes ao tratamento de dados pessoais, quando indicado pela autoridade competente, em especial a ANPD por meio de opiniões técnicas ou recomendações, editadas na forma da LGPD.</w:t>
      </w:r>
    </w:p>
    <w:p>
      <w:pPr>
        <w:pStyle w:val="Normal"/>
        <w:widowControl w:val="false"/>
        <w:ind w:right="-30"/>
        <w:jc w:val="both"/>
        <w:rPr>
          <w:rFonts w:ascii="Arial" w:hAnsi="Arial" w:eastAsia="Arial" w:cs="Arial"/>
          <w:bCs/>
          <w:sz w:val="16"/>
          <w:szCs w:val="16"/>
        </w:rPr>
      </w:pPr>
      <w:r>
        <w:rPr>
          <w:rFonts w:eastAsia="Arial" w:cs="Arial" w:ascii="Arial" w:hAnsi="Arial"/>
          <w:bCs/>
          <w:i/>
          <w:iCs/>
          <w:sz w:val="16"/>
          <w:szCs w:val="16"/>
        </w:rPr>
        <w:t xml:space="preserve">10.12. Os contratos e convênios de que trata o </w:t>
      </w:r>
      <w:hyperlink r:id="rId52" w:tgtFrame="_blank">
        <w:r>
          <w:rPr>
            <w:rStyle w:val="Hyperlink"/>
            <w:rFonts w:eastAsia="Arial" w:cs="Arial" w:ascii="Arial" w:hAnsi="Arial"/>
            <w:bCs/>
            <w:i/>
            <w:iCs/>
            <w:sz w:val="16"/>
            <w:szCs w:val="16"/>
          </w:rPr>
          <w:t>§ 1º do art. 26 da LGPD</w:t>
        </w:r>
      </w:hyperlink>
      <w:r>
        <w:rPr>
          <w:rFonts w:eastAsia="Arial" w:cs="Arial" w:ascii="Arial" w:hAnsi="Arial"/>
          <w:bCs/>
          <w:i/>
          <w:iCs/>
          <w:sz w:val="16"/>
          <w:szCs w:val="16"/>
        </w:rPr>
        <w:t xml:space="preserve"> deverão ser comunicados à autoridade nacional.</w:t>
      </w:r>
    </w:p>
    <w:p>
      <w:pPr>
        <w:pStyle w:val="Normal"/>
        <w:widowControl w:val="false"/>
        <w:ind w:right="-30"/>
        <w:jc w:val="both"/>
        <w:rPr>
          <w:rFonts w:ascii="Arial" w:hAnsi="Arial" w:eastAsia="Arial" w:cs="Arial"/>
          <w:bCs/>
          <w:sz w:val="16"/>
          <w:szCs w:val="16"/>
        </w:rPr>
      </w:pPr>
      <w:r>
        <w:rPr>
          <w:rFonts w:eastAsia="Arial" w:cs="Arial" w:ascii="Arial" w:hAnsi="Arial"/>
          <w:b/>
          <w:bCs/>
          <w:sz w:val="16"/>
          <w:szCs w:val="16"/>
        </w:rPr>
        <w:t>11. CLÁUSULA DÉCIMA PRIMEIRA – INFRAÇÕES E SANÇÕES ADMINISTRATIVAS (</w:t>
      </w:r>
      <w:hyperlink r:id="rId53" w:tgtFrame="_blank">
        <w:r>
          <w:rPr>
            <w:rStyle w:val="Hyperlink"/>
            <w:rFonts w:eastAsia="Arial" w:cs="Arial" w:ascii="Arial" w:hAnsi="Arial"/>
            <w:b/>
            <w:bCs/>
            <w:sz w:val="16"/>
            <w:szCs w:val="16"/>
          </w:rPr>
          <w:t>art. 92, XIV</w:t>
        </w:r>
      </w:hyperlink>
      <w:r>
        <w:rPr>
          <w:rFonts w:eastAsia="Arial" w:cs="Arial" w:ascii="Arial" w:hAnsi="Arial"/>
          <w:b/>
          <w:bCs/>
          <w:sz w:val="16"/>
          <w:szCs w:val="16"/>
        </w:rPr>
        <w:t>)</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11.1. A contratada responderá administrativamente pelas infrações praticadas durante a execução contratual, observadas as disposições da Lei Federal nº 14.133/2021, da Portaria Municipal nº 293/2026, deste Contrato e do Termo de Referência.</w:t>
      </w:r>
    </w:p>
    <w:p>
      <w:pPr>
        <w:pStyle w:val="ListParagraph"/>
        <w:numPr>
          <w:ilvl w:val="0"/>
          <w:numId w:val="7"/>
        </w:numPr>
        <w:suppressAutoHyphens w:val="false"/>
        <w:rPr>
          <w:rFonts w:ascii="Arial" w:hAnsi="Arial" w:eastAsia="Times New Roman" w:cs="Arial"/>
          <w:sz w:val="16"/>
          <w:szCs w:val="16"/>
        </w:rPr>
      </w:pPr>
      <w:r>
        <w:rPr>
          <w:rFonts w:eastAsia="Times New Roman" w:cs="Arial" w:ascii="Arial" w:hAnsi="Arial"/>
          <w:sz w:val="16"/>
          <w:szCs w:val="16"/>
        </w:rPr>
        <w:t xml:space="preserve"> </w:t>
      </w:r>
      <w:r>
        <w:rPr>
          <w:rFonts w:eastAsia="Times New Roman" w:cs="Arial" w:ascii="Arial" w:hAnsi="Arial"/>
          <w:sz w:val="16"/>
          <w:szCs w:val="16"/>
        </w:rPr>
        <w:t>atraso injustificado;</w:t>
      </w:r>
    </w:p>
    <w:p>
      <w:pPr>
        <w:pStyle w:val="ListParagraph"/>
        <w:numPr>
          <w:ilvl w:val="0"/>
          <w:numId w:val="7"/>
        </w:numPr>
        <w:suppressAutoHyphens w:val="false"/>
        <w:rPr>
          <w:rFonts w:ascii="Arial" w:hAnsi="Arial" w:eastAsia="Times New Roman" w:cs="Arial"/>
          <w:sz w:val="16"/>
          <w:szCs w:val="16"/>
        </w:rPr>
      </w:pPr>
      <w:r>
        <w:rPr>
          <w:rFonts w:eastAsia="Times New Roman" w:cs="Arial" w:ascii="Arial" w:hAnsi="Arial"/>
          <w:sz w:val="16"/>
          <w:szCs w:val="16"/>
        </w:rPr>
        <w:t>interrupção;</w:t>
      </w:r>
    </w:p>
    <w:p>
      <w:pPr>
        <w:pStyle w:val="ListParagraph"/>
        <w:numPr>
          <w:ilvl w:val="0"/>
          <w:numId w:val="7"/>
        </w:numPr>
        <w:suppressAutoHyphens w:val="false"/>
        <w:rPr>
          <w:rFonts w:ascii="Arial" w:hAnsi="Arial" w:eastAsia="Times New Roman" w:cs="Arial"/>
          <w:sz w:val="16"/>
          <w:szCs w:val="16"/>
        </w:rPr>
      </w:pPr>
      <w:r>
        <w:rPr>
          <w:rFonts w:eastAsia="Times New Roman" w:cs="Arial" w:ascii="Arial" w:hAnsi="Arial"/>
          <w:sz w:val="16"/>
          <w:szCs w:val="16"/>
        </w:rPr>
        <w:t xml:space="preserve"> </w:t>
      </w:r>
      <w:r>
        <w:rPr>
          <w:rFonts w:eastAsia="Times New Roman" w:cs="Arial" w:ascii="Arial" w:hAnsi="Arial"/>
          <w:sz w:val="16"/>
          <w:szCs w:val="16"/>
        </w:rPr>
        <w:t>veículo irregular;</w:t>
      </w:r>
    </w:p>
    <w:p>
      <w:pPr>
        <w:pStyle w:val="ListParagraph"/>
        <w:numPr>
          <w:ilvl w:val="0"/>
          <w:numId w:val="7"/>
        </w:numPr>
        <w:suppressAutoHyphens w:val="false"/>
        <w:rPr>
          <w:rFonts w:ascii="Arial" w:hAnsi="Arial" w:eastAsia="Times New Roman" w:cs="Arial"/>
          <w:sz w:val="16"/>
          <w:szCs w:val="16"/>
        </w:rPr>
      </w:pPr>
      <w:r>
        <w:rPr>
          <w:rFonts w:eastAsia="Times New Roman" w:cs="Arial" w:ascii="Arial" w:hAnsi="Arial"/>
          <w:sz w:val="16"/>
          <w:szCs w:val="16"/>
        </w:rPr>
        <w:t>motorista irregular;</w:t>
      </w:r>
    </w:p>
    <w:p>
      <w:pPr>
        <w:pStyle w:val="ListParagraph"/>
        <w:numPr>
          <w:ilvl w:val="0"/>
          <w:numId w:val="7"/>
        </w:numPr>
        <w:suppressAutoHyphens w:val="false"/>
        <w:rPr>
          <w:rFonts w:ascii="Arial" w:hAnsi="Arial" w:eastAsia="Times New Roman" w:cs="Arial"/>
          <w:sz w:val="16"/>
          <w:szCs w:val="16"/>
        </w:rPr>
      </w:pPr>
      <w:r>
        <w:rPr>
          <w:rFonts w:eastAsia="Times New Roman" w:cs="Arial" w:ascii="Arial" w:hAnsi="Arial"/>
          <w:sz w:val="16"/>
          <w:szCs w:val="16"/>
        </w:rPr>
        <w:t>descumprimento dos horários;</w:t>
      </w:r>
    </w:p>
    <w:p>
      <w:pPr>
        <w:pStyle w:val="ListParagraph"/>
        <w:numPr>
          <w:ilvl w:val="0"/>
          <w:numId w:val="7"/>
        </w:numPr>
        <w:suppressAutoHyphens w:val="false"/>
        <w:rPr>
          <w:rFonts w:ascii="Arial" w:hAnsi="Arial" w:eastAsia="Times New Roman" w:cs="Arial"/>
          <w:sz w:val="16"/>
          <w:szCs w:val="16"/>
        </w:rPr>
      </w:pPr>
      <w:r>
        <w:rPr>
          <w:rFonts w:eastAsia="Times New Roman" w:cs="Arial" w:ascii="Arial" w:hAnsi="Arial"/>
          <w:sz w:val="16"/>
          <w:szCs w:val="16"/>
        </w:rPr>
        <w:t>descumprimento das ordens da fiscalização;</w:t>
      </w:r>
    </w:p>
    <w:p>
      <w:pPr>
        <w:pStyle w:val="ListParagraph"/>
        <w:numPr>
          <w:ilvl w:val="0"/>
          <w:numId w:val="7"/>
        </w:numPr>
        <w:suppressAutoHyphens w:val="false"/>
        <w:spacing w:before="0" w:after="0"/>
        <w:contextualSpacing/>
        <w:rPr>
          <w:rFonts w:ascii="Arial" w:hAnsi="Arial" w:eastAsia="Times New Roman" w:cs="Arial"/>
          <w:sz w:val="16"/>
          <w:szCs w:val="16"/>
        </w:rPr>
      </w:pPr>
      <w:r>
        <w:rPr>
          <w:rFonts w:eastAsia="Times New Roman" w:cs="Arial" w:ascii="Arial" w:hAnsi="Arial"/>
          <w:sz w:val="16"/>
          <w:szCs w:val="16"/>
        </w:rPr>
        <w:t>substituição sem autorização;</w:t>
      </w:r>
    </w:p>
    <w:p>
      <w:pPr>
        <w:pStyle w:val="ListParagraph"/>
        <w:numPr>
          <w:ilvl w:val="0"/>
          <w:numId w:val="7"/>
        </w:numPr>
        <w:suppressAutoHyphens w:val="false"/>
        <w:spacing w:before="0" w:after="0"/>
        <w:contextualSpacing/>
        <w:rPr>
          <w:rFonts w:ascii="Arial" w:hAnsi="Arial" w:eastAsia="Times New Roman" w:cs="Arial"/>
          <w:sz w:val="16"/>
          <w:szCs w:val="16"/>
        </w:rPr>
      </w:pPr>
      <w:r>
        <w:rPr>
          <w:rFonts w:eastAsia="Times New Roman" w:cs="Arial" w:ascii="Arial" w:hAnsi="Arial"/>
          <w:sz w:val="16"/>
          <w:szCs w:val="16"/>
        </w:rPr>
        <w:t>inexecução;</w:t>
      </w:r>
    </w:p>
    <w:p>
      <w:pPr>
        <w:pStyle w:val="ListParagraph"/>
        <w:numPr>
          <w:ilvl w:val="0"/>
          <w:numId w:val="7"/>
        </w:numPr>
        <w:suppressAutoHyphens w:val="false"/>
        <w:spacing w:before="0" w:after="0"/>
        <w:contextualSpacing/>
        <w:rPr>
          <w:rFonts w:ascii="Arial" w:hAnsi="Arial" w:eastAsia="Times New Roman" w:cs="Arial"/>
          <w:sz w:val="16"/>
          <w:szCs w:val="16"/>
        </w:rPr>
      </w:pPr>
      <w:r>
        <w:rPr>
          <w:rFonts w:eastAsia="Times New Roman" w:cs="Arial" w:ascii="Arial" w:hAnsi="Arial"/>
          <w:sz w:val="16"/>
          <w:szCs w:val="16"/>
        </w:rPr>
        <w:t>documentos falsos;</w:t>
      </w:r>
    </w:p>
    <w:p>
      <w:pPr>
        <w:pStyle w:val="ListParagraph"/>
        <w:numPr>
          <w:ilvl w:val="0"/>
          <w:numId w:val="7"/>
        </w:numPr>
        <w:suppressAutoHyphens w:val="false"/>
        <w:spacing w:before="0" w:after="0"/>
        <w:contextualSpacing/>
        <w:rPr>
          <w:rFonts w:ascii="Arial" w:hAnsi="Arial" w:eastAsia="Times New Roman" w:cs="Arial"/>
          <w:sz w:val="16"/>
          <w:szCs w:val="16"/>
        </w:rPr>
      </w:pPr>
      <w:r>
        <w:rPr>
          <w:rFonts w:eastAsia="Times New Roman" w:cs="Arial" w:ascii="Arial" w:hAnsi="Arial"/>
          <w:sz w:val="16"/>
          <w:szCs w:val="16"/>
        </w:rPr>
        <w:t>infrações da Lei 14.133.</w:t>
      </w:r>
    </w:p>
    <w:p>
      <w:pPr>
        <w:pStyle w:val="ListParagraph"/>
        <w:widowControl w:val="false"/>
        <w:numPr>
          <w:ilvl w:val="0"/>
          <w:numId w:val="7"/>
        </w:numPr>
        <w:spacing w:before="0" w:after="0"/>
        <w:ind w:hanging="360" w:left="720" w:right="-30"/>
        <w:contextualSpacing/>
        <w:jc w:val="both"/>
        <w:rPr>
          <w:rFonts w:ascii="Arial" w:hAnsi="Arial" w:eastAsia="Arial" w:cs="Arial"/>
          <w:bCs/>
          <w:sz w:val="16"/>
          <w:szCs w:val="16"/>
        </w:rPr>
      </w:pPr>
      <w:r>
        <w:rPr>
          <w:rFonts w:eastAsia="Arial" w:cs="Arial" w:ascii="Arial" w:hAnsi="Arial"/>
          <w:bCs/>
          <w:sz w:val="16"/>
          <w:szCs w:val="16"/>
        </w:rPr>
        <w:t xml:space="preserve">Praticar ato lesivo previsto no </w:t>
      </w:r>
      <w:hyperlink r:id="rId54" w:tgtFrame="_blank">
        <w:r>
          <w:rPr>
            <w:rStyle w:val="Hyperlink"/>
            <w:rFonts w:eastAsia="Arial" w:cs="Arial" w:ascii="Arial" w:hAnsi="Arial"/>
            <w:bCs/>
            <w:sz w:val="16"/>
            <w:szCs w:val="16"/>
          </w:rPr>
          <w:t>art. 5º da Lei nº 12.846, de 1º de agosto de 2013</w:t>
        </w:r>
      </w:hyperlink>
      <w:r>
        <w:rPr>
          <w:rFonts w:eastAsia="Arial" w:cs="Arial" w:ascii="Arial" w:hAnsi="Arial"/>
          <w:bCs/>
          <w:sz w:val="16"/>
          <w:szCs w:val="16"/>
        </w:rPr>
        <w:t>.</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11.2. Serão aplicadas ao contratado que incorrer nas infrações acima descritas as seguintes sanções:</w:t>
      </w:r>
    </w:p>
    <w:p>
      <w:pPr>
        <w:pStyle w:val="ListParagraph"/>
        <w:widowControl w:val="false"/>
        <w:numPr>
          <w:ilvl w:val="0"/>
          <w:numId w:val="8"/>
        </w:numPr>
        <w:ind w:hanging="360" w:left="720" w:right="-30"/>
        <w:jc w:val="both"/>
        <w:rPr>
          <w:rFonts w:ascii="Arial" w:hAnsi="Arial" w:eastAsia="Arial" w:cs="Arial"/>
          <w:bCs/>
          <w:sz w:val="16"/>
          <w:szCs w:val="16"/>
        </w:rPr>
      </w:pPr>
      <w:r>
        <w:rPr>
          <w:rFonts w:eastAsia="Arial" w:cs="Arial" w:ascii="Arial" w:hAnsi="Arial"/>
          <w:b/>
          <w:bCs/>
          <w:sz w:val="16"/>
          <w:szCs w:val="16"/>
        </w:rPr>
        <w:t>Advertência</w:t>
      </w:r>
      <w:r>
        <w:rPr>
          <w:rFonts w:eastAsia="Arial" w:cs="Arial" w:ascii="Arial" w:hAnsi="Arial"/>
          <w:bCs/>
          <w:sz w:val="16"/>
          <w:szCs w:val="16"/>
        </w:rPr>
        <w:t>, quando o contratado der causa à inexecução parcial do contrato, sempre que não se justificar a imposição de penalidade mais grave (</w:t>
      </w:r>
      <w:hyperlink r:id="rId55" w:tgtFrame="_blank">
        <w:r>
          <w:rPr>
            <w:rStyle w:val="Hyperlink"/>
            <w:rFonts w:eastAsia="Arial" w:cs="Arial" w:ascii="Arial" w:hAnsi="Arial"/>
            <w:bCs/>
            <w:sz w:val="16"/>
            <w:szCs w:val="16"/>
          </w:rPr>
          <w:t>art. 156, §2º, da Lei nº 14.133, de 2021</w:t>
        </w:r>
      </w:hyperlink>
      <w:r>
        <w:rPr>
          <w:rFonts w:eastAsia="Arial" w:cs="Arial" w:ascii="Arial" w:hAnsi="Arial"/>
          <w:bCs/>
          <w:sz w:val="16"/>
          <w:szCs w:val="16"/>
        </w:rPr>
        <w:t>);</w:t>
      </w:r>
    </w:p>
    <w:p>
      <w:pPr>
        <w:pStyle w:val="ListParagraph"/>
        <w:widowControl w:val="false"/>
        <w:numPr>
          <w:ilvl w:val="0"/>
          <w:numId w:val="8"/>
        </w:numPr>
        <w:ind w:hanging="360" w:left="720" w:right="-30"/>
        <w:jc w:val="both"/>
        <w:rPr>
          <w:rFonts w:ascii="Arial" w:hAnsi="Arial" w:eastAsia="Arial" w:cs="Arial"/>
          <w:bCs/>
          <w:sz w:val="16"/>
          <w:szCs w:val="16"/>
        </w:rPr>
      </w:pPr>
      <w:r>
        <w:rPr>
          <w:rFonts w:eastAsia="Arial" w:cs="Arial" w:ascii="Arial" w:hAnsi="Arial"/>
          <w:b/>
          <w:bCs/>
          <w:sz w:val="16"/>
          <w:szCs w:val="16"/>
        </w:rPr>
        <w:t>Impedimento de licitar e contratar</w:t>
      </w:r>
      <w:r>
        <w:rPr>
          <w:rFonts w:eastAsia="Arial" w:cs="Arial" w:ascii="Arial" w:hAnsi="Arial"/>
          <w:bCs/>
          <w:sz w:val="16"/>
          <w:szCs w:val="16"/>
        </w:rPr>
        <w:t>, quando praticadas as condutas descritas nas alíneas “b”, “c” e “d” do subitem acima deste Contrato, sempre que não se justificar a imposição de penalidade mais grave (</w:t>
      </w:r>
      <w:hyperlink r:id="rId56" w:tgtFrame="_blank">
        <w:r>
          <w:rPr>
            <w:rStyle w:val="Hyperlink"/>
            <w:rFonts w:eastAsia="Arial" w:cs="Arial" w:ascii="Arial" w:hAnsi="Arial"/>
            <w:bCs/>
            <w:sz w:val="16"/>
            <w:szCs w:val="16"/>
          </w:rPr>
          <w:t>art. 156, § 4º, da Lei nº 14.133, de 2021</w:t>
        </w:r>
      </w:hyperlink>
      <w:r>
        <w:rPr>
          <w:rFonts w:eastAsia="Arial" w:cs="Arial" w:ascii="Arial" w:hAnsi="Arial"/>
          <w:bCs/>
          <w:sz w:val="16"/>
          <w:szCs w:val="16"/>
        </w:rPr>
        <w:t>);</w:t>
      </w:r>
    </w:p>
    <w:p>
      <w:pPr>
        <w:pStyle w:val="ListParagraph"/>
        <w:widowControl w:val="false"/>
        <w:numPr>
          <w:ilvl w:val="0"/>
          <w:numId w:val="8"/>
        </w:numPr>
        <w:ind w:hanging="360" w:left="720" w:right="-30"/>
        <w:jc w:val="both"/>
        <w:rPr>
          <w:rFonts w:ascii="Arial" w:hAnsi="Arial" w:eastAsia="Arial" w:cs="Arial"/>
          <w:bCs/>
          <w:sz w:val="16"/>
          <w:szCs w:val="16"/>
        </w:rPr>
      </w:pPr>
      <w:r>
        <w:rPr>
          <w:rFonts w:eastAsia="Arial" w:cs="Arial" w:ascii="Arial" w:hAnsi="Arial"/>
          <w:b/>
          <w:bCs/>
          <w:sz w:val="16"/>
          <w:szCs w:val="16"/>
        </w:rPr>
        <w:t>Declaração de inidoneidade para licitar e contratar</w:t>
      </w:r>
      <w:r>
        <w:rPr>
          <w:rFonts w:eastAsia="Arial" w:cs="Arial" w:ascii="Arial" w:hAnsi="Arial"/>
          <w:bCs/>
          <w:sz w:val="16"/>
          <w:szCs w:val="16"/>
        </w:rPr>
        <w:t>, quando praticadas as condutas descritas nas alíneas “e”, “f”, “g” e “h” do subitem acima deste Contrato, bem como nas alíneas “b”, “c” e “d”, que justifiquem a imposição de penalidade mais grave (</w:t>
      </w:r>
      <w:hyperlink r:id="rId57" w:tgtFrame="_blank">
        <w:r>
          <w:rPr>
            <w:rStyle w:val="Hyperlink"/>
            <w:rFonts w:eastAsia="Arial" w:cs="Arial" w:ascii="Arial" w:hAnsi="Arial"/>
            <w:bCs/>
            <w:sz w:val="16"/>
            <w:szCs w:val="16"/>
          </w:rPr>
          <w:t>art. 156, §5º, da Lei nº 14.133, de 2021</w:t>
        </w:r>
      </w:hyperlink>
      <w:r>
        <w:rPr>
          <w:rFonts w:eastAsia="Arial" w:cs="Arial" w:ascii="Arial" w:hAnsi="Arial"/>
          <w:bCs/>
          <w:sz w:val="16"/>
          <w:szCs w:val="16"/>
        </w:rPr>
        <w:t>).</w:t>
      </w:r>
    </w:p>
    <w:p>
      <w:pPr>
        <w:pStyle w:val="ListParagraph"/>
        <w:widowControl w:val="false"/>
        <w:numPr>
          <w:ilvl w:val="0"/>
          <w:numId w:val="8"/>
        </w:numPr>
        <w:ind w:hanging="360" w:left="720" w:right="-30"/>
        <w:jc w:val="both"/>
        <w:rPr>
          <w:rFonts w:ascii="Arial" w:hAnsi="Arial" w:eastAsia="Arial" w:cs="Arial"/>
          <w:bCs/>
          <w:sz w:val="16"/>
          <w:szCs w:val="16"/>
        </w:rPr>
      </w:pPr>
      <w:r>
        <w:rPr>
          <w:rFonts w:eastAsia="Arial" w:cs="Arial" w:ascii="Arial" w:hAnsi="Arial"/>
          <w:b/>
          <w:bCs/>
          <w:sz w:val="16"/>
          <w:szCs w:val="16"/>
        </w:rPr>
        <w:t>Multa:</w:t>
      </w:r>
    </w:p>
    <w:p>
      <w:pPr>
        <w:pStyle w:val="ListParagraph"/>
        <w:widowControl w:val="false"/>
        <w:numPr>
          <w:ilvl w:val="0"/>
          <w:numId w:val="9"/>
        </w:numPr>
        <w:ind w:hanging="360" w:left="360" w:right="-30"/>
        <w:jc w:val="both"/>
        <w:rPr>
          <w:rFonts w:ascii="Arial" w:hAnsi="Arial" w:eastAsia="Arial" w:cs="Arial"/>
          <w:bCs/>
          <w:sz w:val="16"/>
          <w:szCs w:val="16"/>
        </w:rPr>
      </w:pPr>
      <w:r>
        <w:rPr>
          <w:rFonts w:eastAsia="Arial" w:cs="Arial" w:ascii="Arial" w:hAnsi="Arial"/>
          <w:bCs/>
          <w:i/>
          <w:iCs/>
          <w:sz w:val="16"/>
          <w:szCs w:val="16"/>
        </w:rPr>
        <w:t xml:space="preserve">Moratória de 0,07% (sete centésimos por cento) do valor total do contrato por dia de atraso injustificado, até o máximo de 2% (dois por cento), pela inobservância do prazo fixado para apresentação, suplementação ou reposição da garantia. </w:t>
      </w:r>
    </w:p>
    <w:p>
      <w:pPr>
        <w:pStyle w:val="ListParagraph"/>
        <w:widowControl w:val="false"/>
        <w:numPr>
          <w:ilvl w:val="1"/>
          <w:numId w:val="9"/>
        </w:numPr>
        <w:ind w:hanging="360" w:left="720" w:right="-30"/>
        <w:jc w:val="both"/>
        <w:rPr>
          <w:rFonts w:ascii="Arial" w:hAnsi="Arial" w:eastAsia="Arial" w:cs="Arial"/>
          <w:bCs/>
          <w:sz w:val="16"/>
          <w:szCs w:val="16"/>
        </w:rPr>
      </w:pPr>
      <w:r>
        <w:rPr>
          <w:rFonts w:eastAsia="Arial" w:cs="Arial" w:ascii="Arial" w:hAnsi="Arial"/>
          <w:bCs/>
          <w:i/>
          <w:iCs/>
          <w:sz w:val="16"/>
          <w:szCs w:val="16"/>
        </w:rPr>
        <w:t xml:space="preserve">O atraso superior a 25 (vinte e cinco) dias autoriza a Administração a promover a extinção do contrato por descumprimento ou cumprimento irregular de suas cláusulas, conforme dispõe o </w:t>
      </w:r>
      <w:hyperlink r:id="rId58" w:tgtFrame="_blank">
        <w:r>
          <w:rPr>
            <w:rStyle w:val="Hyperlink"/>
            <w:rFonts w:eastAsia="Arial" w:cs="Arial" w:ascii="Arial" w:hAnsi="Arial"/>
            <w:bCs/>
            <w:i/>
            <w:iCs/>
            <w:sz w:val="16"/>
            <w:szCs w:val="16"/>
          </w:rPr>
          <w:t>inciso I do art. 137 da Lei n. 14.133, de 2021</w:t>
        </w:r>
      </w:hyperlink>
      <w:r>
        <w:rPr>
          <w:rFonts w:eastAsia="Arial" w:cs="Arial" w:ascii="Arial" w:hAnsi="Arial"/>
          <w:bCs/>
          <w:i/>
          <w:iCs/>
          <w:sz w:val="16"/>
          <w:szCs w:val="16"/>
        </w:rPr>
        <w:t>.</w:t>
      </w:r>
    </w:p>
    <w:p>
      <w:pPr>
        <w:pStyle w:val="ListParagraph"/>
        <w:widowControl w:val="false"/>
        <w:numPr>
          <w:ilvl w:val="0"/>
          <w:numId w:val="9"/>
        </w:numPr>
        <w:ind w:hanging="360" w:left="360" w:right="-30"/>
        <w:jc w:val="both"/>
        <w:rPr>
          <w:rFonts w:ascii="Arial" w:hAnsi="Arial" w:eastAsia="Arial" w:cs="Arial"/>
          <w:bCs/>
          <w:sz w:val="16"/>
          <w:szCs w:val="16"/>
        </w:rPr>
      </w:pPr>
      <w:r>
        <w:rPr>
          <w:rFonts w:eastAsia="Arial" w:cs="Arial" w:ascii="Arial" w:hAnsi="Arial"/>
          <w:bCs/>
          <w:sz w:val="16"/>
          <w:szCs w:val="16"/>
        </w:rPr>
        <w:t>Compensatória, para as infrações descritas nas alíneas “e” a “h” do subitem 12.1, de 10% a30% do valor do Contrato.</w:t>
      </w:r>
    </w:p>
    <w:p>
      <w:pPr>
        <w:pStyle w:val="ListParagraph"/>
        <w:widowControl w:val="false"/>
        <w:numPr>
          <w:ilvl w:val="0"/>
          <w:numId w:val="9"/>
        </w:numPr>
        <w:ind w:hanging="360" w:left="360" w:right="-30"/>
        <w:jc w:val="both"/>
        <w:rPr>
          <w:rFonts w:ascii="Arial" w:hAnsi="Arial" w:eastAsia="Arial" w:cs="Arial"/>
          <w:bCs/>
          <w:sz w:val="16"/>
          <w:szCs w:val="16"/>
        </w:rPr>
      </w:pPr>
      <w:r>
        <w:rPr>
          <w:rFonts w:eastAsia="Arial" w:cs="Arial" w:ascii="Arial" w:hAnsi="Arial"/>
          <w:bCs/>
          <w:sz w:val="16"/>
          <w:szCs w:val="16"/>
        </w:rPr>
        <w:t xml:space="preserve">Compensatória, para a inexecução total do contrato prevista na alínea “c” do subitem 12.1, de 10% a 30% do valor do Contrato. </w:t>
      </w:r>
    </w:p>
    <w:p>
      <w:pPr>
        <w:pStyle w:val="ListParagraph"/>
        <w:widowControl w:val="false"/>
        <w:numPr>
          <w:ilvl w:val="0"/>
          <w:numId w:val="9"/>
        </w:numPr>
        <w:ind w:hanging="360" w:left="360" w:right="-30"/>
        <w:jc w:val="both"/>
        <w:rPr>
          <w:rFonts w:ascii="Arial" w:hAnsi="Arial" w:eastAsia="Arial" w:cs="Arial"/>
          <w:bCs/>
          <w:sz w:val="16"/>
          <w:szCs w:val="16"/>
        </w:rPr>
      </w:pPr>
      <w:r>
        <w:rPr>
          <w:rFonts w:eastAsia="Arial" w:cs="Arial" w:ascii="Arial" w:hAnsi="Arial"/>
          <w:bCs/>
          <w:sz w:val="16"/>
          <w:szCs w:val="16"/>
        </w:rPr>
        <w:t>Para infração descrita na alínea “b” do subitem 12.1, a multa será de 05% a 15% do valor do Contrato.</w:t>
      </w:r>
    </w:p>
    <w:p>
      <w:pPr>
        <w:pStyle w:val="ListParagraph"/>
        <w:widowControl w:val="false"/>
        <w:numPr>
          <w:ilvl w:val="0"/>
          <w:numId w:val="9"/>
        </w:numPr>
        <w:ind w:hanging="360" w:left="360" w:right="-30"/>
        <w:jc w:val="both"/>
        <w:rPr>
          <w:rFonts w:ascii="Arial" w:hAnsi="Arial" w:eastAsia="Arial" w:cs="Arial"/>
          <w:bCs/>
          <w:sz w:val="16"/>
          <w:szCs w:val="16"/>
        </w:rPr>
      </w:pPr>
      <w:r>
        <w:rPr>
          <w:rFonts w:eastAsia="Arial" w:cs="Arial" w:ascii="Arial" w:hAnsi="Arial"/>
          <w:bCs/>
          <w:sz w:val="16"/>
          <w:szCs w:val="16"/>
        </w:rPr>
        <w:t>Para infrações descritas na alínea “d” do subitem 12.1, a multa será de 05% a 15% do valor do Contrato.</w:t>
      </w:r>
    </w:p>
    <w:p>
      <w:pPr>
        <w:pStyle w:val="ListParagraph"/>
        <w:widowControl w:val="false"/>
        <w:numPr>
          <w:ilvl w:val="0"/>
          <w:numId w:val="9"/>
        </w:numPr>
        <w:ind w:hanging="360" w:left="360" w:right="-30"/>
        <w:jc w:val="both"/>
        <w:rPr>
          <w:rFonts w:ascii="Arial" w:hAnsi="Arial" w:eastAsia="Arial" w:cs="Arial"/>
          <w:bCs/>
          <w:sz w:val="16"/>
          <w:szCs w:val="16"/>
        </w:rPr>
      </w:pPr>
      <w:r>
        <w:rPr>
          <w:rFonts w:eastAsia="Arial" w:cs="Arial" w:ascii="Arial" w:hAnsi="Arial"/>
          <w:bCs/>
          <w:sz w:val="16"/>
          <w:szCs w:val="16"/>
        </w:rPr>
        <w:t>Para a infração descrita na alínea “a” do subitem 12.1, a multa será de 05% a 15% do valor do Contrato.</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11.3. A aplicação das sanções previstas neste Contrato não exclui, em hipótese alguma, a obrigação de reparação integral do dano causado ao Contratante (</w:t>
      </w:r>
      <w:hyperlink r:id="rId59" w:tgtFrame="_blank">
        <w:r>
          <w:rPr>
            <w:rStyle w:val="Hyperlink"/>
            <w:rFonts w:eastAsia="Arial" w:cs="Arial" w:ascii="Arial" w:hAnsi="Arial"/>
            <w:bCs/>
            <w:sz w:val="16"/>
            <w:szCs w:val="16"/>
          </w:rPr>
          <w:t>art. 156, §9º, da Lei nº 14.133, de 2021</w:t>
        </w:r>
      </w:hyperlink>
      <w:r>
        <w:rPr>
          <w:rFonts w:eastAsia="Arial" w:cs="Arial" w:ascii="Arial" w:hAnsi="Arial"/>
          <w:bCs/>
          <w:sz w:val="16"/>
          <w:szCs w:val="16"/>
        </w:rPr>
        <w:t>)</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11.4. Todas as sanções previstas neste Contrato poderão ser aplicadas cumulativamente com a multa (</w:t>
      </w:r>
      <w:hyperlink r:id="rId60" w:tgtFrame="_blank">
        <w:r>
          <w:rPr>
            <w:rStyle w:val="Hyperlink"/>
            <w:rFonts w:eastAsia="Arial" w:cs="Arial" w:ascii="Arial" w:hAnsi="Arial"/>
            <w:bCs/>
            <w:sz w:val="16"/>
            <w:szCs w:val="16"/>
          </w:rPr>
          <w:t>art. 156, §7º, da Lei nº 14.133, de 2021</w:t>
        </w:r>
      </w:hyperlink>
      <w:r>
        <w:rPr>
          <w:rFonts w:eastAsia="Arial" w:cs="Arial" w:ascii="Arial" w:hAnsi="Arial"/>
          <w:bCs/>
          <w:sz w:val="16"/>
          <w:szCs w:val="16"/>
        </w:rPr>
        <w:t>).</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11.4.1. Antes da aplicação da multa será facultada a defesa do interessado no prazo de 15 (quinze) dias úteis, contado da data de sua intimação (</w:t>
      </w:r>
      <w:hyperlink r:id="rId61" w:tgtFrame="_blank">
        <w:r>
          <w:rPr>
            <w:rStyle w:val="Hyperlink"/>
            <w:rFonts w:eastAsia="Arial" w:cs="Arial" w:ascii="Arial" w:hAnsi="Arial"/>
            <w:bCs/>
            <w:sz w:val="16"/>
            <w:szCs w:val="16"/>
          </w:rPr>
          <w:t>art. 157, da Lei nº 14.133, de 2021</w:t>
        </w:r>
      </w:hyperlink>
      <w:r>
        <w:rPr>
          <w:rFonts w:eastAsia="Arial" w:cs="Arial" w:ascii="Arial" w:hAnsi="Arial"/>
          <w:bCs/>
          <w:sz w:val="16"/>
          <w:szCs w:val="16"/>
        </w:rPr>
        <w:t>)</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11.4.2. Se a multa aplicada e as indenizações cabíveis forem superiores ao valor do pagamento eventualmente devido pelo Contratante ao Contratado, além da perda desse valor, a diferença será descontada da garantia prestada ou será cobrada judicialmente (</w:t>
      </w:r>
      <w:hyperlink r:id="rId62" w:tgtFrame="_blank">
        <w:r>
          <w:rPr>
            <w:rStyle w:val="Hyperlink"/>
            <w:rFonts w:eastAsia="Arial" w:cs="Arial" w:ascii="Arial" w:hAnsi="Arial"/>
            <w:bCs/>
            <w:sz w:val="16"/>
            <w:szCs w:val="16"/>
          </w:rPr>
          <w:t>art. 156, §8º, da Lei nº 14.133, de 2021</w:t>
        </w:r>
      </w:hyperlink>
      <w:r>
        <w:rPr>
          <w:rFonts w:eastAsia="Arial" w:cs="Arial" w:ascii="Arial" w:hAnsi="Arial"/>
          <w:bCs/>
          <w:sz w:val="16"/>
          <w:szCs w:val="16"/>
        </w:rPr>
        <w:t>).</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11.4.3. Previamente ao encaminhamento à cobrança judicial, a multa poderá ser recolhida administrativamente no prazo máximo de 30(trinta)</w:t>
      </w:r>
      <w:r>
        <w:rPr>
          <w:rFonts w:eastAsia="Arial" w:cs="Arial" w:ascii="Arial" w:hAnsi="Arial"/>
          <w:bCs/>
          <w:i/>
          <w:iCs/>
          <w:sz w:val="16"/>
          <w:szCs w:val="16"/>
        </w:rPr>
        <w:t xml:space="preserve"> </w:t>
      </w:r>
      <w:r>
        <w:rPr>
          <w:rFonts w:eastAsia="Arial" w:cs="Arial" w:ascii="Arial" w:hAnsi="Arial"/>
          <w:bCs/>
          <w:sz w:val="16"/>
          <w:szCs w:val="16"/>
        </w:rPr>
        <w:t>dias, a contar da data do recebimento da comunicação enviada pela autoridade competente.</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 xml:space="preserve">11.5. A aplicação das sanções realizar-se-á em processo administrativo que assegure o contraditório e a ampla defesa ao Contratado, observando-se o procedimento previsto no </w:t>
      </w:r>
      <w:r>
        <w:rPr>
          <w:rFonts w:eastAsia="Arial" w:cs="Arial" w:ascii="Arial" w:hAnsi="Arial"/>
          <w:b/>
          <w:bCs/>
          <w:sz w:val="16"/>
          <w:szCs w:val="16"/>
        </w:rPr>
        <w:t xml:space="preserve">caput </w:t>
      </w:r>
      <w:r>
        <w:rPr>
          <w:rFonts w:eastAsia="Arial" w:cs="Arial" w:ascii="Arial" w:hAnsi="Arial"/>
          <w:bCs/>
          <w:sz w:val="16"/>
          <w:szCs w:val="16"/>
        </w:rPr>
        <w:t xml:space="preserve">e parágrafos do </w:t>
      </w:r>
      <w:hyperlink r:id="rId63" w:tgtFrame="_blank">
        <w:r>
          <w:rPr>
            <w:rStyle w:val="Hyperlink"/>
            <w:rFonts w:eastAsia="Arial" w:cs="Arial" w:ascii="Arial" w:hAnsi="Arial"/>
            <w:bCs/>
            <w:sz w:val="16"/>
            <w:szCs w:val="16"/>
          </w:rPr>
          <w:t>art. 158 da Lei nº 14.133, de 2021</w:t>
        </w:r>
      </w:hyperlink>
      <w:r>
        <w:rPr>
          <w:rFonts w:eastAsia="Arial" w:cs="Arial" w:ascii="Arial" w:hAnsi="Arial"/>
          <w:bCs/>
          <w:sz w:val="16"/>
          <w:szCs w:val="16"/>
        </w:rPr>
        <w:t>, para as penalidades de impedimento de licitar e contratar e de declaração de inidoneidade para licitar ou contratar.</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11.6. Na aplicação das sanções serão considerados (</w:t>
      </w:r>
      <w:hyperlink r:id="rId64" w:tgtFrame="_blank">
        <w:r>
          <w:rPr>
            <w:rStyle w:val="Hyperlink"/>
            <w:rFonts w:eastAsia="Arial" w:cs="Arial" w:ascii="Arial" w:hAnsi="Arial"/>
            <w:bCs/>
            <w:sz w:val="16"/>
            <w:szCs w:val="16"/>
          </w:rPr>
          <w:t>art. 156, §1º, da Lei nº 14.133, de 2021</w:t>
        </w:r>
      </w:hyperlink>
      <w:r>
        <w:rPr>
          <w:rFonts w:eastAsia="Arial" w:cs="Arial" w:ascii="Arial" w:hAnsi="Arial"/>
          <w:bCs/>
          <w:sz w:val="16"/>
          <w:szCs w:val="16"/>
        </w:rPr>
        <w:t>):</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a natureza e a gravidade da infração cometida;</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as peculiaridades do caso concreto;</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as circunstâncias agravantes ou atenuantes;</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os danos que dela provierem para o Contratante;</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a implantação ou o aperfeiçoamento de programa de integridade, conforme normas e orientações dos órgãos de controle.</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 xml:space="preserve">11.7. Os atos previstos como infrações administrativas na </w:t>
      </w:r>
      <w:hyperlink r:id="rId65" w:tgtFrame="_blank">
        <w:r>
          <w:rPr>
            <w:rStyle w:val="Hyperlink"/>
            <w:rFonts w:eastAsia="Arial" w:cs="Arial" w:ascii="Arial" w:hAnsi="Arial"/>
            <w:bCs/>
            <w:sz w:val="16"/>
            <w:szCs w:val="16"/>
          </w:rPr>
          <w:t>Lei nº 14.133, de 2021</w:t>
        </w:r>
      </w:hyperlink>
      <w:r>
        <w:rPr>
          <w:rFonts w:eastAsia="Arial" w:cs="Arial" w:ascii="Arial" w:hAnsi="Arial"/>
          <w:bCs/>
          <w:sz w:val="16"/>
          <w:szCs w:val="16"/>
        </w:rPr>
        <w:t xml:space="preserve">, ou em outras leis de licitações e contratos da Administração Pública que também sejam tipificados como atos lesivos </w:t>
      </w:r>
      <w:hyperlink r:id="rId66" w:tgtFrame="_blank">
        <w:r>
          <w:rPr>
            <w:rStyle w:val="Hyperlink"/>
            <w:rFonts w:eastAsia="Arial" w:cs="Arial" w:ascii="Arial" w:hAnsi="Arial"/>
            <w:bCs/>
            <w:sz w:val="16"/>
            <w:szCs w:val="16"/>
          </w:rPr>
          <w:t>na Lei nº 12.846, de 2013</w:t>
        </w:r>
      </w:hyperlink>
      <w:r>
        <w:rPr>
          <w:rFonts w:eastAsia="Arial" w:cs="Arial" w:ascii="Arial" w:hAnsi="Arial"/>
          <w:bCs/>
          <w:sz w:val="16"/>
          <w:szCs w:val="16"/>
        </w:rPr>
        <w:t xml:space="preserve">, serão apurados e julgados conjuntamente, nos mesmos autos, observados o rito procedimental e autoridade competente definidos na referida </w:t>
      </w:r>
      <w:hyperlink r:id="rId67" w:tgtFrame="_blank">
        <w:r>
          <w:rPr>
            <w:rStyle w:val="Hyperlink"/>
            <w:rFonts w:eastAsia="Arial" w:cs="Arial" w:ascii="Arial" w:hAnsi="Arial"/>
            <w:bCs/>
            <w:sz w:val="16"/>
            <w:szCs w:val="16"/>
          </w:rPr>
          <w:t>Lei (art. 159</w:t>
        </w:r>
      </w:hyperlink>
      <w:r>
        <w:rPr>
          <w:rFonts w:eastAsia="Arial" w:cs="Arial" w:ascii="Arial" w:hAnsi="Arial"/>
          <w:bCs/>
          <w:sz w:val="16"/>
          <w:szCs w:val="16"/>
        </w:rPr>
        <w:t>).</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11.8.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8" w:tgtFrame="_blank">
        <w:r>
          <w:rPr>
            <w:rStyle w:val="Hyperlink"/>
            <w:rFonts w:eastAsia="Arial" w:cs="Arial" w:ascii="Arial" w:hAnsi="Arial"/>
            <w:bCs/>
            <w:sz w:val="16"/>
            <w:szCs w:val="16"/>
          </w:rPr>
          <w:t>art. 160, da Lei nº 14.133, de 2021</w:t>
        </w:r>
      </w:hyperlink>
      <w:r>
        <w:rPr>
          <w:rFonts w:eastAsia="Arial" w:cs="Arial" w:ascii="Arial" w:hAnsi="Arial"/>
          <w:bCs/>
          <w:sz w:val="16"/>
          <w:szCs w:val="16"/>
        </w:rPr>
        <w:t>)</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 xml:space="preserve">11.9. O Contratante deverá, no prazo máximo de 15 (quinze) dias úteis, contado da data de aplicação da sanção, informar e manter atualizados os dados relativos às sanções por ela aplicadas, para fins de publicidade no </w:t>
      </w:r>
      <w:hyperlink r:id="rId69" w:tgtFrame="_blank">
        <w:r>
          <w:rPr>
            <w:rStyle w:val="Hyperlink"/>
            <w:rFonts w:eastAsia="Arial" w:cs="Arial" w:ascii="Arial" w:hAnsi="Arial"/>
            <w:bCs/>
            <w:sz w:val="16"/>
            <w:szCs w:val="16"/>
          </w:rPr>
          <w:t>Cadastro Nacional de Empresas Inidôneas e Suspensas (Ceis)</w:t>
        </w:r>
      </w:hyperlink>
      <w:r>
        <w:rPr>
          <w:rFonts w:eastAsia="Arial" w:cs="Arial" w:ascii="Arial" w:hAnsi="Arial"/>
          <w:bCs/>
          <w:sz w:val="16"/>
          <w:szCs w:val="16"/>
        </w:rPr>
        <w:t xml:space="preserve"> e no Cadastro Nacional de Empresas Punidas (Cnep), instituídos no âmbito do Poder Executivo Federal. (</w:t>
      </w:r>
      <w:hyperlink r:id="rId70" w:tgtFrame="_blank">
        <w:r>
          <w:rPr>
            <w:rStyle w:val="Hyperlink"/>
            <w:rFonts w:eastAsia="Arial" w:cs="Arial" w:ascii="Arial" w:hAnsi="Arial"/>
            <w:bCs/>
            <w:sz w:val="16"/>
            <w:szCs w:val="16"/>
          </w:rPr>
          <w:t>Art. 161, da Lei nº 14.133, de 2021</w:t>
        </w:r>
      </w:hyperlink>
      <w:r>
        <w:rPr>
          <w:rFonts w:eastAsia="Arial" w:cs="Arial" w:ascii="Arial" w:hAnsi="Arial"/>
          <w:bCs/>
          <w:sz w:val="16"/>
          <w:szCs w:val="16"/>
        </w:rPr>
        <w:t>)</w:t>
      </w:r>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 xml:space="preserve">11.10. As sanções de impedimento de licitar e contratar e declaração de inidoneidade para licitar ou contratar são passíveis de reabilitação na forma do </w:t>
      </w:r>
      <w:hyperlink r:id="rId71" w:tgtFrame="_blank">
        <w:r>
          <w:rPr>
            <w:rStyle w:val="Hyperlink"/>
            <w:rFonts w:eastAsia="Arial" w:cs="Arial" w:ascii="Arial" w:hAnsi="Arial"/>
            <w:bCs/>
            <w:sz w:val="16"/>
            <w:szCs w:val="16"/>
          </w:rPr>
          <w:t>art. 163 da Lei nº 14.133/21.</w:t>
        </w:r>
      </w:hyperlink>
    </w:p>
    <w:p>
      <w:pPr>
        <w:pStyle w:val="Normal"/>
        <w:widowControl w:val="false"/>
        <w:ind w:right="-30"/>
        <w:jc w:val="both"/>
        <w:rPr>
          <w:rFonts w:ascii="Arial" w:hAnsi="Arial" w:eastAsia="Arial" w:cs="Arial"/>
          <w:bCs/>
          <w:sz w:val="16"/>
          <w:szCs w:val="16"/>
        </w:rPr>
      </w:pPr>
      <w:r>
        <w:rPr>
          <w:rFonts w:eastAsia="Arial" w:cs="Arial" w:ascii="Arial" w:hAnsi="Arial"/>
          <w:bCs/>
          <w:sz w:val="16"/>
          <w:szCs w:val="16"/>
        </w:rPr>
        <w:t xml:space="preserve">11.11.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2" w:tgtFrame="_blank">
        <w:r>
          <w:rPr>
            <w:rStyle w:val="Hyperlink"/>
            <w:rFonts w:eastAsia="Arial" w:cs="Arial" w:ascii="Arial" w:hAnsi="Arial"/>
            <w:bCs/>
            <w:sz w:val="16"/>
            <w:szCs w:val="16"/>
          </w:rPr>
          <w:t>Instrução Normativa SEGES/ME nº 26, de 13 de abril de 2022</w:t>
        </w:r>
      </w:hyperlink>
      <w:r>
        <w:rPr>
          <w:rFonts w:eastAsia="Arial" w:cs="Arial" w:ascii="Arial" w:hAnsi="Arial"/>
          <w:bCs/>
          <w:sz w:val="16"/>
          <w:szCs w:val="16"/>
        </w:rPr>
        <w:t>.</w:t>
      </w:r>
    </w:p>
    <w:p>
      <w:pPr>
        <w:pStyle w:val="Normal"/>
        <w:widowControl w:val="false"/>
        <w:ind w:right="-30"/>
        <w:jc w:val="both"/>
        <w:rPr>
          <w:rFonts w:ascii="Arial" w:hAnsi="Arial" w:eastAsia="Arial" w:cs="Arial"/>
          <w:b/>
          <w:bCs/>
          <w:sz w:val="16"/>
          <w:szCs w:val="16"/>
        </w:rPr>
      </w:pPr>
      <w:r>
        <w:rPr>
          <w:rFonts w:eastAsia="Arial" w:cs="Arial" w:ascii="Arial" w:hAnsi="Arial"/>
          <w:b/>
          <w:bCs/>
          <w:sz w:val="16"/>
          <w:szCs w:val="16"/>
        </w:rPr>
        <w:t>12. CLÁUSULA DÉCIMA SEGUNDA – DA EXTINÇÃO CONTRATUAL (</w:t>
      </w:r>
      <w:hyperlink r:id="rId73" w:tgtFrame="_blank">
        <w:r>
          <w:rPr>
            <w:rStyle w:val="Hyperlink"/>
            <w:rFonts w:eastAsia="Arial" w:cs="Arial" w:ascii="Arial" w:hAnsi="Arial"/>
            <w:b/>
            <w:bCs/>
            <w:sz w:val="16"/>
            <w:szCs w:val="16"/>
          </w:rPr>
          <w:t>art. 92, XIX</w:t>
        </w:r>
      </w:hyperlink>
      <w:r>
        <w:rPr>
          <w:rFonts w:eastAsia="Arial" w:cs="Arial" w:ascii="Arial" w:hAnsi="Arial"/>
          <w:b/>
          <w:bCs/>
          <w:sz w:val="16"/>
          <w:szCs w:val="16"/>
        </w:rPr>
        <w:t>)</w:t>
      </w:r>
    </w:p>
    <w:p>
      <w:pPr>
        <w:pStyle w:val="ListParagraph"/>
        <w:widowControl w:val="false"/>
        <w:numPr>
          <w:ilvl w:val="1"/>
          <w:numId w:val="10"/>
        </w:numPr>
        <w:ind w:hanging="360" w:left="720" w:right="-30"/>
        <w:jc w:val="both"/>
        <w:rPr>
          <w:rFonts w:ascii="Arial" w:hAnsi="Arial" w:eastAsia="Arial" w:cs="Arial"/>
          <w:bCs/>
          <w:sz w:val="16"/>
          <w:szCs w:val="16"/>
        </w:rPr>
      </w:pPr>
      <w:r>
        <w:rPr>
          <w:rFonts w:eastAsia="Arial" w:cs="Arial" w:ascii="Arial" w:hAnsi="Arial"/>
          <w:bCs/>
          <w:i/>
          <w:iCs/>
          <w:sz w:val="16"/>
          <w:szCs w:val="16"/>
        </w:rPr>
        <w:t>O contrato será extinto quando cumpridas as obrigações de ambas as partes, ainda que isso ocorra antes do prazo estipulado para tanto.</w:t>
      </w:r>
    </w:p>
    <w:p>
      <w:pPr>
        <w:pStyle w:val="ListParagraph"/>
        <w:widowControl w:val="false"/>
        <w:numPr>
          <w:ilvl w:val="1"/>
          <w:numId w:val="10"/>
        </w:numPr>
        <w:ind w:hanging="360" w:left="720" w:right="-30"/>
        <w:jc w:val="both"/>
        <w:rPr>
          <w:rFonts w:ascii="Arial" w:hAnsi="Arial" w:eastAsia="Arial" w:cs="Arial"/>
          <w:bCs/>
          <w:sz w:val="16"/>
          <w:szCs w:val="16"/>
        </w:rPr>
      </w:pPr>
      <w:r>
        <w:rPr>
          <w:rFonts w:eastAsia="Arial" w:cs="Arial" w:ascii="Arial" w:hAnsi="Arial"/>
          <w:bCs/>
          <w:i/>
          <w:iCs/>
          <w:sz w:val="16"/>
          <w:szCs w:val="16"/>
        </w:rPr>
        <w:t>Se as obrigações não forem cumpridas no prazo estipulado, a vigência ficará prorrogada até a conclusão do objeto, caso em que deverá a Administração providenciar a readequação do cronograma fixado para o contrato.</w:t>
      </w:r>
    </w:p>
    <w:p>
      <w:pPr>
        <w:pStyle w:val="ListParagraph"/>
        <w:widowControl w:val="false"/>
        <w:numPr>
          <w:ilvl w:val="1"/>
          <w:numId w:val="10"/>
        </w:numPr>
        <w:ind w:hanging="360" w:left="720" w:right="-30"/>
        <w:jc w:val="both"/>
        <w:rPr>
          <w:rFonts w:ascii="Arial" w:hAnsi="Arial" w:eastAsia="Arial" w:cs="Arial"/>
          <w:bCs/>
          <w:sz w:val="16"/>
          <w:szCs w:val="16"/>
        </w:rPr>
      </w:pPr>
      <w:r>
        <w:rPr>
          <w:rFonts w:eastAsia="Arial" w:cs="Arial" w:ascii="Arial" w:hAnsi="Arial"/>
          <w:bCs/>
          <w:i/>
          <w:iCs/>
          <w:sz w:val="16"/>
          <w:szCs w:val="16"/>
        </w:rPr>
        <w:t>Quando a não conclusão do contrato referida no item anterior decorrer de culpa do contratado:</w:t>
      </w:r>
    </w:p>
    <w:p>
      <w:pPr>
        <w:pStyle w:val="ListParagraph"/>
        <w:widowControl w:val="false"/>
        <w:numPr>
          <w:ilvl w:val="1"/>
          <w:numId w:val="10"/>
        </w:numPr>
        <w:ind w:hanging="360" w:left="720" w:right="-30"/>
        <w:jc w:val="both"/>
        <w:rPr>
          <w:rFonts w:ascii="Arial" w:hAnsi="Arial" w:eastAsia="Arial" w:cs="Arial"/>
          <w:bCs/>
          <w:sz w:val="16"/>
          <w:szCs w:val="16"/>
        </w:rPr>
      </w:pPr>
      <w:r>
        <w:rPr>
          <w:rFonts w:eastAsia="Arial" w:cs="Arial" w:ascii="Arial" w:hAnsi="Arial"/>
          <w:bCs/>
          <w:i/>
          <w:iCs/>
          <w:sz w:val="16"/>
          <w:szCs w:val="16"/>
        </w:rPr>
        <w:t>Ficará ele constituído em mora, sendo-lhe aplicáveis as respectivas sanções administrativas; e</w:t>
      </w:r>
    </w:p>
    <w:p>
      <w:pPr>
        <w:pStyle w:val="ListParagraph"/>
        <w:widowControl w:val="false"/>
        <w:numPr>
          <w:ilvl w:val="1"/>
          <w:numId w:val="10"/>
        </w:numPr>
        <w:ind w:hanging="360" w:left="720" w:right="-30"/>
        <w:jc w:val="both"/>
        <w:rPr>
          <w:rFonts w:ascii="Arial" w:hAnsi="Arial" w:eastAsia="Arial" w:cs="Arial"/>
          <w:bCs/>
          <w:sz w:val="16"/>
          <w:szCs w:val="16"/>
        </w:rPr>
      </w:pPr>
      <w:r>
        <w:rPr>
          <w:rFonts w:eastAsia="Arial" w:cs="Arial" w:ascii="Arial" w:hAnsi="Arial"/>
          <w:bCs/>
          <w:i/>
          <w:iCs/>
          <w:sz w:val="16"/>
          <w:szCs w:val="16"/>
        </w:rPr>
        <w:t>Poderá a Administração optar pela extinção do contrato e, nesse caso, adotará as medidas admitidas em lei para a continuidade da execução contratual.</w:t>
      </w:r>
    </w:p>
    <w:p>
      <w:pPr>
        <w:pStyle w:val="ListParagraph"/>
        <w:widowControl w:val="false"/>
        <w:numPr>
          <w:ilvl w:val="1"/>
          <w:numId w:val="10"/>
        </w:numPr>
        <w:ind w:hanging="360" w:left="720" w:right="-30"/>
        <w:jc w:val="both"/>
        <w:rPr>
          <w:rFonts w:ascii="Arial" w:hAnsi="Arial" w:eastAsia="Arial" w:cs="Arial"/>
          <w:bCs/>
          <w:sz w:val="16"/>
          <w:szCs w:val="16"/>
        </w:rPr>
      </w:pPr>
      <w:r>
        <w:rPr>
          <w:rFonts w:eastAsia="Arial" w:cs="Arial" w:ascii="Arial" w:hAnsi="Arial"/>
          <w:bCs/>
          <w:sz w:val="16"/>
          <w:szCs w:val="16"/>
        </w:rPr>
        <w:t xml:space="preserve">O contrato poderá ser extinto antes de cumpridas as obrigações nele estipuladas, ou antes do prazo nele fixado, por algum dos motivos previstos no </w:t>
      </w:r>
      <w:hyperlink r:id="rId74" w:tgtFrame="_blank">
        <w:r>
          <w:rPr>
            <w:rStyle w:val="Hyperlink"/>
            <w:rFonts w:eastAsia="Arial" w:cs="Arial" w:ascii="Arial" w:hAnsi="Arial"/>
            <w:bCs/>
            <w:sz w:val="16"/>
            <w:szCs w:val="16"/>
          </w:rPr>
          <w:t>artigo 137 da Lei nº 14.133/21</w:t>
        </w:r>
      </w:hyperlink>
      <w:r>
        <w:rPr>
          <w:rFonts w:eastAsia="Arial" w:cs="Arial" w:ascii="Arial" w:hAnsi="Arial"/>
          <w:bCs/>
          <w:sz w:val="16"/>
          <w:szCs w:val="16"/>
        </w:rPr>
        <w:t>, bem como amigavelmente, assegurados o contraditório e a ampla defesa.</w:t>
      </w:r>
    </w:p>
    <w:p>
      <w:pPr>
        <w:pStyle w:val="ListParagraph"/>
        <w:widowControl w:val="false"/>
        <w:numPr>
          <w:ilvl w:val="1"/>
          <w:numId w:val="10"/>
        </w:numPr>
        <w:ind w:hanging="360" w:left="720" w:right="-30"/>
        <w:jc w:val="both"/>
        <w:rPr>
          <w:rFonts w:ascii="Arial" w:hAnsi="Arial" w:eastAsia="Arial" w:cs="Arial"/>
          <w:bCs/>
          <w:sz w:val="16"/>
          <w:szCs w:val="16"/>
        </w:rPr>
      </w:pPr>
      <w:r>
        <w:rPr>
          <w:rFonts w:eastAsia="Arial" w:cs="Arial" w:ascii="Arial" w:hAnsi="Arial"/>
          <w:bCs/>
          <w:sz w:val="16"/>
          <w:szCs w:val="16"/>
        </w:rPr>
        <w:t xml:space="preserve">Nesta hipótese, aplicam-se também os </w:t>
      </w:r>
      <w:hyperlink r:id="rId75" w:tgtFrame="_blank">
        <w:r>
          <w:rPr>
            <w:rStyle w:val="Hyperlink"/>
            <w:rFonts w:eastAsia="Arial" w:cs="Arial" w:ascii="Arial" w:hAnsi="Arial"/>
            <w:bCs/>
            <w:sz w:val="16"/>
            <w:szCs w:val="16"/>
          </w:rPr>
          <w:t>artigos 138 e 139</w:t>
        </w:r>
      </w:hyperlink>
      <w:r>
        <w:rPr>
          <w:rFonts w:eastAsia="Arial" w:cs="Arial" w:ascii="Arial" w:hAnsi="Arial"/>
          <w:bCs/>
          <w:sz w:val="16"/>
          <w:szCs w:val="16"/>
        </w:rPr>
        <w:t xml:space="preserve"> da mesma Lei.</w:t>
      </w:r>
    </w:p>
    <w:p>
      <w:pPr>
        <w:pStyle w:val="ListParagraph"/>
        <w:widowControl w:val="false"/>
        <w:numPr>
          <w:ilvl w:val="1"/>
          <w:numId w:val="10"/>
        </w:numPr>
        <w:ind w:hanging="360" w:left="720" w:right="-30"/>
        <w:jc w:val="both"/>
        <w:rPr>
          <w:rFonts w:ascii="Arial" w:hAnsi="Arial" w:eastAsia="Arial" w:cs="Arial"/>
          <w:bCs/>
          <w:sz w:val="16"/>
          <w:szCs w:val="16"/>
        </w:rPr>
      </w:pPr>
      <w:r>
        <w:rPr>
          <w:rFonts w:eastAsia="Arial" w:cs="Arial" w:ascii="Arial" w:hAnsi="Arial"/>
          <w:bCs/>
          <w:sz w:val="16"/>
          <w:szCs w:val="16"/>
        </w:rPr>
        <w:t>A alteração social ou a modificação da finalidade ou da estrutura da empresa não ensejará a extinção se não restringir sua capacidade de concluir o contrato.</w:t>
      </w:r>
    </w:p>
    <w:p>
      <w:pPr>
        <w:pStyle w:val="ListParagraph"/>
        <w:widowControl w:val="false"/>
        <w:numPr>
          <w:ilvl w:val="1"/>
          <w:numId w:val="10"/>
        </w:numPr>
        <w:ind w:hanging="360" w:left="720" w:right="-30"/>
        <w:jc w:val="both"/>
        <w:rPr>
          <w:rFonts w:ascii="Arial" w:hAnsi="Arial" w:eastAsia="Arial" w:cs="Arial"/>
          <w:bCs/>
          <w:sz w:val="16"/>
          <w:szCs w:val="16"/>
        </w:rPr>
      </w:pPr>
      <w:r>
        <w:rPr>
          <w:rFonts w:eastAsia="Arial" w:cs="Arial" w:ascii="Arial" w:hAnsi="Arial"/>
          <w:bCs/>
          <w:sz w:val="16"/>
          <w:szCs w:val="16"/>
        </w:rPr>
        <w:t>Se a operação implicar mudança da pessoa jurídica contratada, deverá ser formalizado termo aditivo para alteração subjetiva.</w:t>
      </w:r>
    </w:p>
    <w:p>
      <w:pPr>
        <w:pStyle w:val="ListParagraph"/>
        <w:widowControl w:val="false"/>
        <w:numPr>
          <w:ilvl w:val="1"/>
          <w:numId w:val="10"/>
        </w:numPr>
        <w:ind w:hanging="360" w:left="720" w:right="-30"/>
        <w:jc w:val="both"/>
        <w:rPr>
          <w:rFonts w:ascii="Arial" w:hAnsi="Arial" w:eastAsia="Arial" w:cs="Arial"/>
          <w:bCs/>
          <w:sz w:val="16"/>
          <w:szCs w:val="16"/>
        </w:rPr>
      </w:pPr>
      <w:r>
        <w:rPr>
          <w:rFonts w:eastAsia="Arial" w:cs="Arial" w:ascii="Arial" w:hAnsi="Arial"/>
          <w:bCs/>
          <w:sz w:val="16"/>
          <w:szCs w:val="16"/>
        </w:rPr>
        <w:t>O termo de extinção, sempre que possível, será precedido:</w:t>
      </w:r>
    </w:p>
    <w:p>
      <w:pPr>
        <w:pStyle w:val="ListParagraph"/>
        <w:widowControl w:val="false"/>
        <w:numPr>
          <w:ilvl w:val="0"/>
          <w:numId w:val="13"/>
        </w:numPr>
        <w:ind w:hanging="360" w:left="1440" w:right="-30"/>
        <w:jc w:val="both"/>
        <w:rPr>
          <w:rFonts w:ascii="Arial" w:hAnsi="Arial" w:eastAsia="Arial" w:cs="Arial"/>
          <w:bCs/>
          <w:sz w:val="16"/>
          <w:szCs w:val="16"/>
        </w:rPr>
      </w:pPr>
      <w:r>
        <w:rPr>
          <w:rFonts w:eastAsia="Arial" w:cs="Arial" w:ascii="Arial" w:hAnsi="Arial"/>
          <w:bCs/>
          <w:sz w:val="16"/>
          <w:szCs w:val="16"/>
        </w:rPr>
        <w:t>Balanço dos eventos contratuais já cumpridos ou parcialmente cumpridos;</w:t>
      </w:r>
    </w:p>
    <w:p>
      <w:pPr>
        <w:pStyle w:val="ListParagraph"/>
        <w:widowControl w:val="false"/>
        <w:numPr>
          <w:ilvl w:val="0"/>
          <w:numId w:val="13"/>
        </w:numPr>
        <w:ind w:hanging="360" w:left="1440" w:right="-30"/>
        <w:jc w:val="both"/>
        <w:rPr>
          <w:rFonts w:ascii="Arial" w:hAnsi="Arial" w:eastAsia="Arial" w:cs="Arial"/>
          <w:bCs/>
          <w:sz w:val="16"/>
          <w:szCs w:val="16"/>
        </w:rPr>
      </w:pPr>
      <w:r>
        <w:rPr>
          <w:rFonts w:eastAsia="Arial" w:cs="Arial" w:ascii="Arial" w:hAnsi="Arial"/>
          <w:bCs/>
          <w:sz w:val="16"/>
          <w:szCs w:val="16"/>
        </w:rPr>
        <w:t>Relação dos pagamentos já efetuados e ainda devidos;</w:t>
      </w:r>
    </w:p>
    <w:p>
      <w:pPr>
        <w:pStyle w:val="ListParagraph"/>
        <w:widowControl w:val="false"/>
        <w:numPr>
          <w:ilvl w:val="0"/>
          <w:numId w:val="13"/>
        </w:numPr>
        <w:ind w:hanging="360" w:left="1440" w:right="-30"/>
        <w:jc w:val="both"/>
        <w:rPr>
          <w:rFonts w:ascii="Arial" w:hAnsi="Arial" w:eastAsia="Arial" w:cs="Arial"/>
          <w:bCs/>
          <w:sz w:val="16"/>
          <w:szCs w:val="16"/>
        </w:rPr>
      </w:pPr>
      <w:r>
        <w:rPr>
          <w:rFonts w:eastAsia="Arial" w:cs="Arial" w:ascii="Arial" w:hAnsi="Arial"/>
          <w:bCs/>
          <w:sz w:val="16"/>
          <w:szCs w:val="16"/>
        </w:rPr>
        <w:t>Indenizações e multas.</w:t>
      </w:r>
    </w:p>
    <w:p>
      <w:pPr>
        <w:pStyle w:val="ListParagraph"/>
        <w:widowControl w:val="false"/>
        <w:numPr>
          <w:ilvl w:val="0"/>
          <w:numId w:val="13"/>
        </w:numPr>
        <w:ind w:hanging="360" w:left="1440" w:right="-30"/>
        <w:jc w:val="both"/>
        <w:rPr>
          <w:rFonts w:ascii="Arial" w:hAnsi="Arial" w:eastAsia="Arial" w:cs="Arial"/>
          <w:bCs/>
          <w:sz w:val="16"/>
          <w:szCs w:val="16"/>
        </w:rPr>
      </w:pPr>
      <w:r>
        <w:rPr>
          <w:rFonts w:eastAsia="Arial" w:cs="Arial" w:ascii="Arial" w:hAnsi="Arial"/>
          <w:bCs/>
          <w:sz w:val="16"/>
          <w:szCs w:val="16"/>
        </w:rPr>
        <w:t>A extinção do contrato não configura óbice para o reconhecimento do desequilíbrio econômico-financeiro, hipótese em que será concedida indenização por meio de termo indenizatório (</w:t>
      </w:r>
      <w:hyperlink r:id="rId76" w:tgtFrame="_blank">
        <w:r>
          <w:rPr>
            <w:rStyle w:val="Hyperlink"/>
            <w:rFonts w:eastAsia="Arial" w:cs="Arial" w:ascii="Arial" w:hAnsi="Arial"/>
            <w:bCs/>
            <w:sz w:val="16"/>
            <w:szCs w:val="16"/>
          </w:rPr>
          <w:t xml:space="preserve">art. 131, </w:t>
        </w:r>
        <w:r>
          <w:rPr>
            <w:rStyle w:val="Hyperlink"/>
            <w:rFonts w:eastAsia="Arial" w:cs="Arial" w:ascii="Arial" w:hAnsi="Arial"/>
            <w:bCs/>
            <w:i/>
            <w:iCs/>
            <w:sz w:val="16"/>
            <w:szCs w:val="16"/>
          </w:rPr>
          <w:t xml:space="preserve">caput, </w:t>
        </w:r>
        <w:r>
          <w:rPr>
            <w:rStyle w:val="Hyperlink"/>
            <w:rFonts w:eastAsia="Arial" w:cs="Arial" w:ascii="Arial" w:hAnsi="Arial"/>
            <w:bCs/>
            <w:sz w:val="16"/>
            <w:szCs w:val="16"/>
          </w:rPr>
          <w:t>da Lei n.º 14.133, de 2021).</w:t>
        </w:r>
      </w:hyperlink>
      <w:r>
        <w:rPr>
          <w:rFonts w:eastAsia="Arial" w:cs="Arial" w:ascii="Arial" w:hAnsi="Arial"/>
          <w:bCs/>
          <w:sz w:val="16"/>
          <w:szCs w:val="16"/>
        </w:rPr>
        <w:t xml:space="preserve"> </w:t>
      </w:r>
    </w:p>
    <w:p>
      <w:pPr>
        <w:pStyle w:val="ListParagraph"/>
        <w:widowControl w:val="false"/>
        <w:numPr>
          <w:ilvl w:val="1"/>
          <w:numId w:val="10"/>
        </w:numPr>
        <w:ind w:hanging="360" w:left="720" w:right="-30"/>
        <w:jc w:val="both"/>
        <w:rPr>
          <w:rFonts w:ascii="Arial" w:hAnsi="Arial" w:eastAsia="Arial" w:cs="Arial"/>
          <w:bCs/>
          <w:sz w:val="16"/>
          <w:szCs w:val="16"/>
        </w:rPr>
      </w:pPr>
      <w:r>
        <w:rPr>
          <w:rFonts w:eastAsia="Arial" w:cs="Arial" w:ascii="Arial" w:hAnsi="Arial"/>
          <w:bCs/>
          <w:sz w:val="16"/>
          <w:szCs w:val="16"/>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pPr>
        <w:pStyle w:val="ListParagraph"/>
        <w:suppressAutoHyphens w:val="false"/>
        <w:spacing w:beforeAutospacing="1" w:afterAutospacing="1"/>
        <w:ind w:left="360"/>
        <w:contextualSpacing/>
        <w:rPr>
          <w:rFonts w:ascii="Arial" w:hAnsi="Arial" w:eastAsia="Times New Roman" w:cs="Arial"/>
          <w:sz w:val="16"/>
          <w:szCs w:val="16"/>
        </w:rPr>
      </w:pPr>
      <w:r>
        <w:rPr>
          <w:rFonts w:eastAsia="Times New Roman" w:cs="Arial" w:ascii="Arial" w:hAnsi="Arial"/>
          <w:sz w:val="16"/>
          <w:szCs w:val="16"/>
        </w:rPr>
        <w:t>Constituem motivos específicos para rescisão contratual:</w:t>
      </w:r>
    </w:p>
    <w:p>
      <w:pPr>
        <w:pStyle w:val="ListParagraph"/>
        <w:suppressAutoHyphens w:val="false"/>
        <w:spacing w:beforeAutospacing="1" w:afterAutospacing="1"/>
        <w:ind w:left="360"/>
        <w:contextualSpacing/>
        <w:rPr>
          <w:rFonts w:ascii="Arial" w:hAnsi="Arial" w:eastAsia="Times New Roman" w:cs="Arial"/>
          <w:sz w:val="16"/>
          <w:szCs w:val="16"/>
        </w:rPr>
      </w:pPr>
      <w:r>
        <w:rPr>
          <w:rFonts w:eastAsia="Times New Roman" w:cs="Arial" w:ascii="Arial" w:hAnsi="Arial"/>
          <w:sz w:val="16"/>
          <w:szCs w:val="16"/>
        </w:rPr>
        <w:t>I – perda das condições técnicas;</w:t>
      </w:r>
    </w:p>
    <w:p>
      <w:pPr>
        <w:pStyle w:val="ListParagraph"/>
        <w:suppressAutoHyphens w:val="false"/>
        <w:spacing w:beforeAutospacing="1" w:afterAutospacing="1"/>
        <w:ind w:left="360"/>
        <w:contextualSpacing/>
        <w:rPr>
          <w:rFonts w:ascii="Arial" w:hAnsi="Arial" w:eastAsia="Times New Roman" w:cs="Arial"/>
          <w:sz w:val="16"/>
          <w:szCs w:val="16"/>
        </w:rPr>
      </w:pPr>
      <w:r>
        <w:rPr>
          <w:rFonts w:eastAsia="Times New Roman" w:cs="Arial" w:ascii="Arial" w:hAnsi="Arial"/>
          <w:sz w:val="16"/>
          <w:szCs w:val="16"/>
        </w:rPr>
        <w:t>II – utilização de veículo irregular;</w:t>
      </w:r>
    </w:p>
    <w:p>
      <w:pPr>
        <w:pStyle w:val="ListParagraph"/>
        <w:suppressAutoHyphens w:val="false"/>
        <w:spacing w:beforeAutospacing="1" w:afterAutospacing="1"/>
        <w:ind w:left="360"/>
        <w:contextualSpacing/>
        <w:rPr>
          <w:rFonts w:ascii="Arial" w:hAnsi="Arial" w:eastAsia="Times New Roman" w:cs="Arial"/>
          <w:sz w:val="16"/>
          <w:szCs w:val="16"/>
        </w:rPr>
      </w:pPr>
      <w:r>
        <w:rPr>
          <w:rFonts w:eastAsia="Times New Roman" w:cs="Arial" w:ascii="Arial" w:hAnsi="Arial"/>
          <w:sz w:val="16"/>
          <w:szCs w:val="16"/>
        </w:rPr>
        <w:t>III – utilização de motorista sem habilitação;</w:t>
      </w:r>
    </w:p>
    <w:p>
      <w:pPr>
        <w:pStyle w:val="ListParagraph"/>
        <w:suppressAutoHyphens w:val="false"/>
        <w:spacing w:beforeAutospacing="1" w:afterAutospacing="1"/>
        <w:ind w:left="360"/>
        <w:contextualSpacing/>
        <w:rPr>
          <w:rFonts w:ascii="Arial" w:hAnsi="Arial" w:eastAsia="Times New Roman" w:cs="Arial"/>
          <w:sz w:val="16"/>
          <w:szCs w:val="16"/>
        </w:rPr>
      </w:pPr>
      <w:r>
        <w:rPr>
          <w:rFonts w:eastAsia="Times New Roman" w:cs="Arial" w:ascii="Arial" w:hAnsi="Arial"/>
          <w:sz w:val="16"/>
          <w:szCs w:val="16"/>
        </w:rPr>
        <w:t>IV – interrupção injustificada;</w:t>
      </w:r>
    </w:p>
    <w:p>
      <w:pPr>
        <w:pStyle w:val="ListParagraph"/>
        <w:suppressAutoHyphens w:val="false"/>
        <w:spacing w:beforeAutospacing="1" w:afterAutospacing="1"/>
        <w:ind w:left="360"/>
        <w:contextualSpacing/>
        <w:rPr>
          <w:rFonts w:ascii="Arial" w:hAnsi="Arial" w:eastAsia="Times New Roman" w:cs="Arial"/>
          <w:sz w:val="16"/>
          <w:szCs w:val="16"/>
        </w:rPr>
      </w:pPr>
      <w:r>
        <w:rPr>
          <w:rFonts w:eastAsia="Times New Roman" w:cs="Arial" w:ascii="Arial" w:hAnsi="Arial"/>
          <w:sz w:val="16"/>
          <w:szCs w:val="16"/>
        </w:rPr>
        <w:t>V – descumprimento reiterado dos itinerários;</w:t>
      </w:r>
    </w:p>
    <w:p>
      <w:pPr>
        <w:pStyle w:val="ListParagraph"/>
        <w:suppressAutoHyphens w:val="false"/>
        <w:spacing w:beforeAutospacing="1" w:afterAutospacing="1"/>
        <w:ind w:left="360"/>
        <w:contextualSpacing/>
        <w:rPr>
          <w:rFonts w:ascii="Arial" w:hAnsi="Arial" w:eastAsia="Times New Roman" w:cs="Arial"/>
          <w:sz w:val="16"/>
          <w:szCs w:val="16"/>
        </w:rPr>
      </w:pPr>
      <w:r>
        <w:rPr>
          <w:rFonts w:eastAsia="Times New Roman" w:cs="Arial" w:ascii="Arial" w:hAnsi="Arial"/>
          <w:sz w:val="16"/>
          <w:szCs w:val="16"/>
        </w:rPr>
        <w:t>VI – descumprimento das determinações da fiscalização.</w:t>
      </w:r>
    </w:p>
    <w:p>
      <w:pPr>
        <w:pStyle w:val="ListParagraph"/>
        <w:widowControl w:val="false"/>
        <w:numPr>
          <w:ilvl w:val="1"/>
          <w:numId w:val="10"/>
        </w:numPr>
        <w:ind w:hanging="360" w:left="720" w:right="-30"/>
        <w:jc w:val="both"/>
        <w:rPr>
          <w:rFonts w:ascii="Arial" w:hAnsi="Arial" w:eastAsia="Arial" w:cs="Arial"/>
          <w:bCs/>
          <w:sz w:val="16"/>
          <w:szCs w:val="16"/>
        </w:rPr>
      </w:pPr>
      <w:r>
        <w:rPr>
          <w:rFonts w:eastAsia="Arial" w:cs="Arial" w:ascii="Arial" w:hAnsi="Arial"/>
          <w:bCs/>
          <w:sz w:val="16"/>
          <w:szCs w:val="16"/>
        </w:rPr>
        <w:t>A fiscalização poderá, a qualquer tempo, realizar inspeções nos veículos, verificar documentos, conferir itinerários, quilometragem, horários, condições de segurança, manutenção e demais exigências previstas no Termo de Referência, determinando as correções necessárias, que deverão ser atendidas imediatamente pela contratada.</w:t>
      </w:r>
    </w:p>
    <w:p>
      <w:pPr>
        <w:pStyle w:val="ListParagraph"/>
        <w:widowControl w:val="false"/>
        <w:numPr>
          <w:ilvl w:val="0"/>
          <w:numId w:val="10"/>
        </w:numPr>
        <w:ind w:hanging="360" w:left="360" w:right="-30"/>
        <w:jc w:val="both"/>
        <w:rPr>
          <w:rFonts w:ascii="Arial" w:hAnsi="Arial" w:eastAsia="Arial" w:cs="Arial"/>
          <w:bCs/>
          <w:sz w:val="16"/>
          <w:szCs w:val="16"/>
        </w:rPr>
      </w:pPr>
      <w:r>
        <w:rPr>
          <w:rFonts w:eastAsia="Arial" w:cs="Arial" w:ascii="Arial" w:hAnsi="Arial"/>
          <w:b/>
          <w:bCs/>
          <w:sz w:val="16"/>
          <w:szCs w:val="16"/>
        </w:rPr>
        <w:t>CLÁUSULA DÉCIMA TERCEIRA – DOTAÇÃO ORÇAMENTÁRIA (</w:t>
      </w:r>
      <w:hyperlink r:id="rId77" w:tgtFrame="_blank">
        <w:r>
          <w:rPr>
            <w:rStyle w:val="Hyperlink"/>
            <w:rFonts w:eastAsia="Arial" w:cs="Arial" w:ascii="Arial" w:hAnsi="Arial"/>
            <w:b/>
            <w:bCs/>
            <w:sz w:val="16"/>
            <w:szCs w:val="16"/>
          </w:rPr>
          <w:t>art. 92, VIII</w:t>
        </w:r>
      </w:hyperlink>
      <w:r>
        <w:rPr>
          <w:rFonts w:eastAsia="Arial" w:cs="Arial" w:ascii="Arial" w:hAnsi="Arial"/>
          <w:b/>
          <w:bCs/>
          <w:sz w:val="16"/>
          <w:szCs w:val="16"/>
        </w:rPr>
        <w:t>)</w:t>
      </w:r>
    </w:p>
    <w:p>
      <w:pPr>
        <w:pStyle w:val="ListParagraph"/>
        <w:widowControl w:val="false"/>
        <w:numPr>
          <w:ilvl w:val="1"/>
          <w:numId w:val="10"/>
        </w:numPr>
        <w:ind w:hanging="360" w:left="720" w:right="-30"/>
        <w:jc w:val="both"/>
        <w:rPr>
          <w:rFonts w:ascii="Arial" w:hAnsi="Arial" w:eastAsia="Arial" w:cs="Arial"/>
          <w:bCs/>
          <w:sz w:val="16"/>
          <w:szCs w:val="16"/>
        </w:rPr>
      </w:pPr>
      <w:r>
        <w:rPr>
          <w:rFonts w:eastAsia="Arial" w:cs="Arial" w:ascii="Arial" w:hAnsi="Arial"/>
          <w:bCs/>
          <w:sz w:val="16"/>
          <w:szCs w:val="16"/>
        </w:rPr>
        <w:t>As despesas decorrentes da presente contratação correrão à conta de recursos específicos consignados no Orçamento Geral do Município de Santa Bárbara do Sul deste exercício, na dotação abaixo discriminada:</w:t>
      </w:r>
    </w:p>
    <w:p>
      <w:pPr>
        <w:pStyle w:val="ListParagraph"/>
        <w:widowControl w:val="false"/>
        <w:numPr>
          <w:ilvl w:val="0"/>
          <w:numId w:val="11"/>
        </w:numPr>
        <w:ind w:hanging="360" w:left="720" w:right="-30"/>
        <w:jc w:val="both"/>
        <w:rPr>
          <w:rFonts w:ascii="Arial" w:hAnsi="Arial" w:eastAsia="Arial" w:cs="Arial"/>
          <w:bCs/>
          <w:sz w:val="16"/>
          <w:szCs w:val="16"/>
        </w:rPr>
      </w:pPr>
      <w:r>
        <w:rPr>
          <w:rFonts w:eastAsia="Arial" w:cs="Arial" w:ascii="Arial" w:hAnsi="Arial"/>
          <w:bCs/>
          <w:sz w:val="16"/>
          <w:szCs w:val="16"/>
        </w:rPr>
        <w:t xml:space="preserve">Gestão/Unidade: </w:t>
      </w:r>
    </w:p>
    <w:p>
      <w:pPr>
        <w:pStyle w:val="ListParagraph"/>
        <w:widowControl w:val="false"/>
        <w:numPr>
          <w:ilvl w:val="0"/>
          <w:numId w:val="11"/>
        </w:numPr>
        <w:ind w:hanging="360" w:left="720" w:right="-30"/>
        <w:jc w:val="both"/>
        <w:rPr>
          <w:rFonts w:ascii="Arial" w:hAnsi="Arial" w:eastAsia="Arial" w:cs="Arial"/>
          <w:bCs/>
          <w:sz w:val="16"/>
          <w:szCs w:val="16"/>
        </w:rPr>
      </w:pPr>
      <w:r>
        <w:rPr>
          <w:rFonts w:eastAsia="Arial" w:cs="Arial" w:ascii="Arial" w:hAnsi="Arial"/>
          <w:bCs/>
          <w:sz w:val="16"/>
          <w:szCs w:val="16"/>
        </w:rPr>
        <w:t xml:space="preserve">Fonte de Recursos: </w:t>
      </w:r>
    </w:p>
    <w:p>
      <w:pPr>
        <w:pStyle w:val="ListParagraph"/>
        <w:widowControl w:val="false"/>
        <w:numPr>
          <w:ilvl w:val="0"/>
          <w:numId w:val="11"/>
        </w:numPr>
        <w:ind w:hanging="360" w:left="720" w:right="-30"/>
        <w:jc w:val="both"/>
        <w:rPr>
          <w:rFonts w:ascii="Arial" w:hAnsi="Arial" w:eastAsia="Arial" w:cs="Arial"/>
          <w:bCs/>
          <w:sz w:val="16"/>
          <w:szCs w:val="16"/>
        </w:rPr>
      </w:pPr>
      <w:r>
        <w:rPr>
          <w:rFonts w:eastAsia="Arial" w:cs="Arial" w:ascii="Arial" w:hAnsi="Arial"/>
          <w:bCs/>
          <w:sz w:val="16"/>
          <w:szCs w:val="16"/>
        </w:rPr>
        <w:t xml:space="preserve">Programa de Trabalho: </w:t>
      </w:r>
    </w:p>
    <w:p>
      <w:pPr>
        <w:pStyle w:val="ListParagraph"/>
        <w:widowControl w:val="false"/>
        <w:numPr>
          <w:ilvl w:val="0"/>
          <w:numId w:val="11"/>
        </w:numPr>
        <w:ind w:hanging="360" w:left="720" w:right="-30"/>
        <w:jc w:val="both"/>
        <w:rPr>
          <w:rFonts w:ascii="Arial" w:hAnsi="Arial" w:eastAsia="Arial" w:cs="Arial"/>
          <w:bCs/>
          <w:sz w:val="16"/>
          <w:szCs w:val="16"/>
        </w:rPr>
      </w:pPr>
      <w:r>
        <w:rPr>
          <w:rFonts w:eastAsia="Arial" w:cs="Arial" w:ascii="Arial" w:hAnsi="Arial"/>
          <w:bCs/>
          <w:sz w:val="16"/>
          <w:szCs w:val="16"/>
        </w:rPr>
        <w:t xml:space="preserve">Elemento de Despesa: </w:t>
      </w:r>
    </w:p>
    <w:p>
      <w:pPr>
        <w:pStyle w:val="ListParagraph"/>
        <w:widowControl w:val="false"/>
        <w:numPr>
          <w:ilvl w:val="0"/>
          <w:numId w:val="11"/>
        </w:numPr>
        <w:ind w:hanging="360" w:left="720" w:right="-30"/>
        <w:jc w:val="both"/>
        <w:rPr>
          <w:rFonts w:ascii="Arial" w:hAnsi="Arial" w:eastAsia="Arial" w:cs="Arial"/>
          <w:bCs/>
          <w:sz w:val="16"/>
          <w:szCs w:val="16"/>
        </w:rPr>
      </w:pPr>
      <w:r>
        <w:rPr>
          <w:rFonts w:eastAsia="Arial" w:cs="Arial" w:ascii="Arial" w:hAnsi="Arial"/>
          <w:bCs/>
          <w:sz w:val="16"/>
          <w:szCs w:val="16"/>
        </w:rPr>
        <w:t xml:space="preserve">Plano Interno: </w:t>
      </w:r>
    </w:p>
    <w:p>
      <w:pPr>
        <w:pStyle w:val="ListParagraph"/>
        <w:widowControl w:val="false"/>
        <w:numPr>
          <w:ilvl w:val="0"/>
          <w:numId w:val="11"/>
        </w:numPr>
        <w:ind w:hanging="360" w:left="720" w:right="-30"/>
        <w:jc w:val="both"/>
        <w:rPr>
          <w:rFonts w:ascii="Arial" w:hAnsi="Arial" w:eastAsia="Arial" w:cs="Arial"/>
          <w:bCs/>
          <w:sz w:val="16"/>
          <w:szCs w:val="16"/>
        </w:rPr>
      </w:pPr>
      <w:r>
        <w:rPr>
          <w:rFonts w:eastAsia="Arial" w:cs="Arial" w:ascii="Arial" w:hAnsi="Arial"/>
          <w:bCs/>
          <w:sz w:val="16"/>
          <w:szCs w:val="16"/>
        </w:rPr>
        <w:t>Nota de Empenho:</w:t>
      </w:r>
    </w:p>
    <w:p>
      <w:pPr>
        <w:pStyle w:val="ListParagraph"/>
        <w:widowControl w:val="false"/>
        <w:numPr>
          <w:ilvl w:val="1"/>
          <w:numId w:val="10"/>
        </w:numPr>
        <w:ind w:hanging="360" w:left="720" w:right="-30"/>
        <w:jc w:val="both"/>
        <w:rPr>
          <w:rFonts w:ascii="Arial" w:hAnsi="Arial" w:eastAsia="Arial" w:cs="Arial"/>
          <w:bCs/>
          <w:sz w:val="16"/>
          <w:szCs w:val="16"/>
        </w:rPr>
      </w:pPr>
      <w:r>
        <w:rPr>
          <w:rFonts w:eastAsia="Arial" w:cs="Arial" w:ascii="Arial" w:hAnsi="Arial"/>
          <w:bCs/>
          <w:sz w:val="16"/>
          <w:szCs w:val="16"/>
        </w:rPr>
        <w:t>A dotação relativa aos exercícios financeiros subsequentes será indicada após aprovação da Lei Orçamentária respectiva e liberação dos créditos correspondentes, mediante apostilamento.</w:t>
      </w:r>
    </w:p>
    <w:p>
      <w:pPr>
        <w:pStyle w:val="ListParagraph"/>
        <w:widowControl w:val="false"/>
        <w:numPr>
          <w:ilvl w:val="0"/>
          <w:numId w:val="12"/>
        </w:numPr>
        <w:ind w:hanging="360" w:left="720" w:right="-30"/>
        <w:jc w:val="both"/>
        <w:rPr>
          <w:rFonts w:ascii="Arial" w:hAnsi="Arial" w:eastAsia="Arial" w:cs="Arial"/>
          <w:bCs/>
          <w:sz w:val="16"/>
          <w:szCs w:val="16"/>
        </w:rPr>
      </w:pPr>
      <w:r>
        <w:rPr>
          <w:rFonts w:eastAsia="Arial" w:cs="Arial" w:ascii="Arial" w:hAnsi="Arial"/>
          <w:b/>
          <w:bCs/>
          <w:sz w:val="16"/>
          <w:szCs w:val="16"/>
        </w:rPr>
        <w:t>CLÁUSULA DÉCIMA QUARTA – DOS CASOS OMISSOS (</w:t>
      </w:r>
      <w:hyperlink r:id="rId78" w:tgtFrame="_blank">
        <w:r>
          <w:rPr>
            <w:rStyle w:val="Hyperlink"/>
            <w:rFonts w:eastAsia="Arial" w:cs="Arial" w:ascii="Arial" w:hAnsi="Arial"/>
            <w:b/>
            <w:bCs/>
            <w:sz w:val="16"/>
            <w:szCs w:val="16"/>
          </w:rPr>
          <w:t>art. 92, III</w:t>
        </w:r>
      </w:hyperlink>
      <w:r>
        <w:rPr>
          <w:rFonts w:eastAsia="Arial" w:cs="Arial" w:ascii="Arial" w:hAnsi="Arial"/>
          <w:b/>
          <w:bCs/>
          <w:sz w:val="16"/>
          <w:szCs w:val="16"/>
        </w:rPr>
        <w:t>)</w:t>
      </w:r>
    </w:p>
    <w:p>
      <w:pPr>
        <w:pStyle w:val="ListParagraph"/>
        <w:widowControl w:val="false"/>
        <w:numPr>
          <w:ilvl w:val="1"/>
          <w:numId w:val="12"/>
        </w:numPr>
        <w:ind w:hanging="360" w:left="720" w:right="-30"/>
        <w:jc w:val="both"/>
        <w:rPr>
          <w:rFonts w:ascii="Arial" w:hAnsi="Arial" w:eastAsia="Arial" w:cs="Arial"/>
          <w:bCs/>
          <w:sz w:val="16"/>
          <w:szCs w:val="16"/>
        </w:rPr>
      </w:pPr>
      <w:r>
        <w:rPr>
          <w:rFonts w:eastAsia="Arial" w:cs="Arial" w:ascii="Arial" w:hAnsi="Arial"/>
          <w:bCs/>
          <w:sz w:val="16"/>
          <w:szCs w:val="16"/>
        </w:rPr>
        <w:t xml:space="preserve">Os casos omissos serão decididos pelo contratante, segundo as disposições contidas na </w:t>
      </w:r>
      <w:hyperlink r:id="rId79" w:tgtFrame="_blank">
        <w:r>
          <w:rPr>
            <w:rStyle w:val="Hyperlink"/>
            <w:rFonts w:eastAsia="Arial" w:cs="Arial" w:ascii="Arial" w:hAnsi="Arial"/>
            <w:bCs/>
            <w:sz w:val="16"/>
            <w:szCs w:val="16"/>
          </w:rPr>
          <w:t>Lei nº 14.133, de 2021</w:t>
        </w:r>
      </w:hyperlink>
      <w:r>
        <w:rPr>
          <w:rFonts w:eastAsia="Arial" w:cs="Arial" w:ascii="Arial" w:hAnsi="Arial"/>
          <w:bCs/>
          <w:sz w:val="16"/>
          <w:szCs w:val="16"/>
        </w:rPr>
        <w:t xml:space="preserve">, e demais normas federais aplicáveis e, subsidiariamente, segundo as disposições contidas na </w:t>
      </w:r>
      <w:hyperlink r:id="rId80" w:tgtFrame="_blank">
        <w:r>
          <w:rPr>
            <w:rStyle w:val="Hyperlink"/>
            <w:rFonts w:eastAsia="Arial" w:cs="Arial" w:ascii="Arial" w:hAnsi="Arial"/>
            <w:bCs/>
            <w:sz w:val="16"/>
            <w:szCs w:val="16"/>
          </w:rPr>
          <w:t>Lei nº 8.078, de 1990 – Código de Defesa do Consumidor</w:t>
        </w:r>
      </w:hyperlink>
      <w:r>
        <w:rPr>
          <w:rFonts w:eastAsia="Arial" w:cs="Arial" w:ascii="Arial" w:hAnsi="Arial"/>
          <w:bCs/>
          <w:sz w:val="16"/>
          <w:szCs w:val="16"/>
        </w:rPr>
        <w:t xml:space="preserve"> – e normas e princípios gerais dos contratos.</w:t>
      </w:r>
    </w:p>
    <w:p>
      <w:pPr>
        <w:pStyle w:val="ListParagraph"/>
        <w:widowControl w:val="false"/>
        <w:numPr>
          <w:ilvl w:val="0"/>
          <w:numId w:val="12"/>
        </w:numPr>
        <w:ind w:hanging="360" w:left="720" w:right="-30"/>
        <w:jc w:val="both"/>
        <w:rPr>
          <w:rFonts w:ascii="Arial" w:hAnsi="Arial" w:eastAsia="Arial" w:cs="Arial"/>
          <w:bCs/>
          <w:sz w:val="16"/>
          <w:szCs w:val="16"/>
        </w:rPr>
      </w:pPr>
      <w:r>
        <w:rPr>
          <w:rFonts w:eastAsia="Arial" w:cs="Arial" w:ascii="Arial" w:hAnsi="Arial"/>
          <w:b/>
          <w:bCs/>
          <w:sz w:val="16"/>
          <w:szCs w:val="16"/>
        </w:rPr>
        <w:t>CLÁUSULA DÉCIMA QUINTA – ALTERAÇÕES</w:t>
      </w:r>
    </w:p>
    <w:p>
      <w:pPr>
        <w:pStyle w:val="ListParagraph"/>
        <w:widowControl w:val="false"/>
        <w:numPr>
          <w:ilvl w:val="1"/>
          <w:numId w:val="12"/>
        </w:numPr>
        <w:ind w:hanging="360" w:left="720" w:right="-30"/>
        <w:jc w:val="both"/>
        <w:rPr>
          <w:rFonts w:ascii="Arial" w:hAnsi="Arial" w:eastAsia="Arial" w:cs="Arial"/>
          <w:bCs/>
          <w:sz w:val="16"/>
          <w:szCs w:val="16"/>
        </w:rPr>
      </w:pPr>
      <w:r>
        <w:rPr>
          <w:rFonts w:eastAsia="Arial" w:cs="Arial" w:ascii="Arial" w:hAnsi="Arial"/>
          <w:bCs/>
          <w:sz w:val="16"/>
          <w:szCs w:val="16"/>
        </w:rPr>
        <w:t xml:space="preserve">Eventuais alterações contratuais reger-se-ão pela disciplina dos </w:t>
      </w:r>
      <w:hyperlink r:id="rId81" w:tgtFrame="_blank">
        <w:r>
          <w:rPr>
            <w:rStyle w:val="Hyperlink"/>
            <w:rFonts w:eastAsia="Arial" w:cs="Arial" w:ascii="Arial" w:hAnsi="Arial"/>
            <w:bCs/>
            <w:sz w:val="16"/>
            <w:szCs w:val="16"/>
          </w:rPr>
          <w:t>arts. 124 e seguintes da Lei nº 14.133, de 2021</w:t>
        </w:r>
      </w:hyperlink>
      <w:r>
        <w:rPr>
          <w:rFonts w:eastAsia="Arial" w:cs="Arial" w:ascii="Arial" w:hAnsi="Arial"/>
          <w:bCs/>
          <w:sz w:val="16"/>
          <w:szCs w:val="16"/>
        </w:rPr>
        <w:t>.</w:t>
      </w:r>
    </w:p>
    <w:p>
      <w:pPr>
        <w:pStyle w:val="ListParagraph"/>
        <w:widowControl w:val="false"/>
        <w:numPr>
          <w:ilvl w:val="1"/>
          <w:numId w:val="12"/>
        </w:numPr>
        <w:ind w:hanging="360" w:left="720" w:right="-30"/>
        <w:jc w:val="both"/>
        <w:rPr>
          <w:rFonts w:ascii="Arial" w:hAnsi="Arial" w:eastAsia="Arial" w:cs="Arial"/>
          <w:bCs/>
          <w:sz w:val="16"/>
          <w:szCs w:val="16"/>
        </w:rPr>
      </w:pPr>
      <w:r>
        <w:rPr>
          <w:rFonts w:eastAsia="Arial" w:cs="Arial" w:ascii="Arial" w:hAnsi="Arial"/>
          <w:bCs/>
          <w:sz w:val="16"/>
          <w:szCs w:val="16"/>
        </w:rPr>
        <w:t>O contratado é obrigado a aceitar, nas mesmas condições contratuais, os acréscimos ou supressões que se fizerem necessários, até o limite de 25% (vinte e cinco por cento) do valor inicial atualizado do contrato.</w:t>
      </w:r>
    </w:p>
    <w:p>
      <w:pPr>
        <w:pStyle w:val="ListParagraph"/>
        <w:widowControl w:val="false"/>
        <w:numPr>
          <w:ilvl w:val="1"/>
          <w:numId w:val="12"/>
        </w:numPr>
        <w:ind w:hanging="360" w:left="720" w:right="-30"/>
        <w:jc w:val="both"/>
        <w:rPr>
          <w:rFonts w:ascii="Arial" w:hAnsi="Arial" w:eastAsia="Arial" w:cs="Arial"/>
          <w:bCs/>
          <w:sz w:val="16"/>
          <w:szCs w:val="16"/>
        </w:rPr>
      </w:pPr>
      <w:r>
        <w:rPr>
          <w:rFonts w:eastAsia="Arial" w:cs="Arial" w:ascii="Arial" w:hAnsi="Arial"/>
          <w:bCs/>
          <w:sz w:val="16"/>
          <w:szCs w:val="16"/>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pPr>
        <w:pStyle w:val="ListParagraph"/>
        <w:widowControl w:val="false"/>
        <w:numPr>
          <w:ilvl w:val="1"/>
          <w:numId w:val="12"/>
        </w:numPr>
        <w:ind w:hanging="360" w:left="720" w:right="-30"/>
        <w:jc w:val="both"/>
        <w:rPr>
          <w:rFonts w:ascii="Arial" w:hAnsi="Arial" w:eastAsia="Arial" w:cs="Arial"/>
          <w:bCs/>
          <w:sz w:val="16"/>
          <w:szCs w:val="16"/>
        </w:rPr>
      </w:pPr>
      <w:r>
        <w:rPr>
          <w:rFonts w:eastAsia="Arial" w:cs="Arial" w:ascii="Arial" w:hAnsi="Arial"/>
          <w:bCs/>
          <w:sz w:val="16"/>
          <w:szCs w:val="16"/>
        </w:rPr>
        <w:t xml:space="preserve">Registros que não caracterizam alteração do contrato podem ser realizados por simples apostila, dispensada a celebração de termo aditivo, na forma do </w:t>
      </w:r>
      <w:hyperlink r:id="rId82" w:tgtFrame="_blank">
        <w:r>
          <w:rPr>
            <w:rStyle w:val="Hyperlink"/>
            <w:rFonts w:eastAsia="Arial" w:cs="Arial" w:ascii="Arial" w:hAnsi="Arial"/>
            <w:bCs/>
            <w:sz w:val="16"/>
            <w:szCs w:val="16"/>
          </w:rPr>
          <w:t>art. 136 da Lei nº 14.133, de 2021</w:t>
        </w:r>
      </w:hyperlink>
      <w:r>
        <w:rPr>
          <w:rFonts w:eastAsia="Arial" w:cs="Arial" w:ascii="Arial" w:hAnsi="Arial"/>
          <w:bCs/>
          <w:sz w:val="16"/>
          <w:szCs w:val="16"/>
        </w:rPr>
        <w:t>.</w:t>
      </w:r>
    </w:p>
    <w:p>
      <w:pPr>
        <w:pStyle w:val="ListParagraph"/>
        <w:widowControl w:val="false"/>
        <w:numPr>
          <w:ilvl w:val="0"/>
          <w:numId w:val="12"/>
        </w:numPr>
        <w:ind w:hanging="360" w:left="720" w:right="-30"/>
        <w:jc w:val="both"/>
        <w:rPr>
          <w:rFonts w:ascii="Arial" w:hAnsi="Arial" w:eastAsia="Arial" w:cs="Arial"/>
          <w:bCs/>
          <w:sz w:val="16"/>
          <w:szCs w:val="16"/>
        </w:rPr>
      </w:pPr>
      <w:r>
        <w:rPr>
          <w:rFonts w:eastAsia="Arial" w:cs="Arial" w:ascii="Arial" w:hAnsi="Arial"/>
          <w:b/>
          <w:bCs/>
          <w:sz w:val="16"/>
          <w:szCs w:val="16"/>
        </w:rPr>
        <w:t>CLÁUSULA DÉCIMA SEXTA – PUBLICAÇÃO</w:t>
      </w:r>
    </w:p>
    <w:p>
      <w:pPr>
        <w:pStyle w:val="ListParagraph"/>
        <w:widowControl w:val="false"/>
        <w:numPr>
          <w:ilvl w:val="1"/>
          <w:numId w:val="12"/>
        </w:numPr>
        <w:ind w:hanging="360" w:left="720" w:right="-30"/>
        <w:jc w:val="both"/>
        <w:rPr>
          <w:rFonts w:ascii="Arial" w:hAnsi="Arial" w:eastAsia="Arial" w:cs="Arial"/>
          <w:bCs/>
          <w:sz w:val="16"/>
          <w:szCs w:val="16"/>
        </w:rPr>
      </w:pPr>
      <w:r>
        <w:rPr>
          <w:rFonts w:eastAsia="Arial" w:cs="Arial" w:ascii="Arial" w:hAnsi="Arial"/>
          <w:bCs/>
          <w:sz w:val="16"/>
          <w:szCs w:val="16"/>
        </w:rPr>
        <w:t xml:space="preserve">Incumbirá ao contratante divulgar o presente instrumento no Portal Nacional de Contratações Públicas (PNCP), na forma prevista no </w:t>
      </w:r>
      <w:hyperlink r:id="rId83" w:tgtFrame="_blank">
        <w:r>
          <w:rPr>
            <w:rStyle w:val="Hyperlink"/>
            <w:rFonts w:eastAsia="Arial" w:cs="Arial" w:ascii="Arial" w:hAnsi="Arial"/>
            <w:bCs/>
            <w:sz w:val="16"/>
            <w:szCs w:val="16"/>
          </w:rPr>
          <w:t>art. 94 da Lei 14.133, de 2021</w:t>
        </w:r>
      </w:hyperlink>
      <w:r>
        <w:rPr>
          <w:rFonts w:eastAsia="Arial" w:cs="Arial" w:ascii="Arial" w:hAnsi="Arial"/>
          <w:bCs/>
          <w:sz w:val="16"/>
          <w:szCs w:val="16"/>
        </w:rPr>
        <w:t xml:space="preserve">, bem como no sítio eletrônico oficial do Município, quando exigido pela legislação aplicável, em atenção ao art. 91, </w:t>
      </w:r>
      <w:r>
        <w:rPr>
          <w:rFonts w:eastAsia="Arial" w:cs="Arial" w:ascii="Arial" w:hAnsi="Arial"/>
          <w:bCs/>
          <w:i/>
          <w:iCs/>
          <w:sz w:val="16"/>
          <w:szCs w:val="16"/>
        </w:rPr>
        <w:t>caput,</w:t>
      </w:r>
      <w:r>
        <w:rPr>
          <w:rFonts w:eastAsia="Arial" w:cs="Arial" w:ascii="Arial" w:hAnsi="Arial"/>
          <w:bCs/>
          <w:sz w:val="16"/>
          <w:szCs w:val="16"/>
        </w:rPr>
        <w:t xml:space="preserve"> da Lei n.º 14.133, de 2021.</w:t>
      </w:r>
    </w:p>
    <w:p>
      <w:pPr>
        <w:pStyle w:val="ListParagraph"/>
        <w:widowControl w:val="false"/>
        <w:numPr>
          <w:ilvl w:val="0"/>
          <w:numId w:val="12"/>
        </w:numPr>
        <w:ind w:hanging="360" w:left="720" w:right="-30"/>
        <w:jc w:val="both"/>
        <w:rPr>
          <w:rFonts w:ascii="Arial" w:hAnsi="Arial" w:eastAsia="Arial" w:cs="Arial"/>
          <w:bCs/>
          <w:sz w:val="16"/>
          <w:szCs w:val="16"/>
        </w:rPr>
      </w:pPr>
      <w:r>
        <w:rPr>
          <w:rFonts w:eastAsia="Arial" w:cs="Arial" w:ascii="Arial" w:hAnsi="Arial"/>
          <w:b/>
          <w:bCs/>
          <w:sz w:val="16"/>
          <w:szCs w:val="16"/>
        </w:rPr>
        <w:t>CLÁUSULA DÉCIMA SÉTIMA – FORO (</w:t>
      </w:r>
      <w:hyperlink r:id="rId84" w:tgtFrame="_blank">
        <w:r>
          <w:rPr>
            <w:rStyle w:val="Hyperlink"/>
            <w:rFonts w:eastAsia="Arial" w:cs="Arial" w:ascii="Arial" w:hAnsi="Arial"/>
            <w:b/>
            <w:bCs/>
            <w:sz w:val="16"/>
            <w:szCs w:val="16"/>
          </w:rPr>
          <w:t>art. 92, §1º</w:t>
        </w:r>
      </w:hyperlink>
      <w:r>
        <w:rPr>
          <w:rFonts w:eastAsia="Arial" w:cs="Arial" w:ascii="Arial" w:hAnsi="Arial"/>
          <w:b/>
          <w:bCs/>
          <w:sz w:val="16"/>
          <w:szCs w:val="16"/>
        </w:rPr>
        <w:t>)</w:t>
      </w:r>
    </w:p>
    <w:p>
      <w:pPr>
        <w:pStyle w:val="ListParagraph"/>
        <w:widowControl w:val="false"/>
        <w:numPr>
          <w:ilvl w:val="1"/>
          <w:numId w:val="12"/>
        </w:numPr>
        <w:ind w:hanging="360" w:left="720" w:right="-30"/>
        <w:jc w:val="both"/>
        <w:rPr>
          <w:rFonts w:ascii="Arial" w:hAnsi="Arial" w:eastAsia="Arial" w:cs="Arial"/>
          <w:bCs/>
          <w:sz w:val="16"/>
          <w:szCs w:val="16"/>
        </w:rPr>
      </w:pPr>
      <w:r>
        <w:rPr>
          <w:rFonts w:eastAsia="Arial" w:cs="Arial" w:ascii="Arial" w:hAnsi="Arial"/>
          <w:bCs/>
          <w:sz w:val="16"/>
          <w:szCs w:val="16"/>
        </w:rPr>
        <w:t xml:space="preserve">Fica eleito o Foro da Comarca de Santa Bárbara do Sul-RS para dirimir os litígios que decorrerem da execução deste Termo de Contrato que não puderem ser compostos pela conciliação, conforme </w:t>
      </w:r>
      <w:hyperlink r:id="rId85" w:tgtFrame="_blank">
        <w:r>
          <w:rPr>
            <w:rStyle w:val="Hyperlink"/>
            <w:rFonts w:eastAsia="Arial" w:cs="Arial" w:ascii="Arial" w:hAnsi="Arial"/>
            <w:bCs/>
            <w:sz w:val="16"/>
            <w:szCs w:val="16"/>
          </w:rPr>
          <w:t>art. 92, §1º, da Lei nº 14.133/21.</w:t>
        </w:r>
      </w:hyperlink>
    </w:p>
    <w:p>
      <w:pPr>
        <w:pStyle w:val="Normal"/>
        <w:widowControl w:val="false"/>
        <w:spacing w:lineRule="auto" w:line="360"/>
        <w:ind w:right="-30"/>
        <w:jc w:val="center"/>
        <w:rPr>
          <w:rFonts w:ascii="Gadugi" w:hAnsi="Gadugi" w:cs="Gadugi"/>
          <w:sz w:val="18"/>
          <w:szCs w:val="18"/>
        </w:rPr>
      </w:pPr>
      <w:r>
        <w:rPr>
          <w:rFonts w:cs="Gadugi" w:ascii="Gadugi" w:hAnsi="Gadugi"/>
          <w:sz w:val="18"/>
          <w:szCs w:val="18"/>
        </w:rPr>
      </w:r>
    </w:p>
    <w:p>
      <w:pPr>
        <w:pStyle w:val="Normal"/>
        <w:spacing w:lineRule="auto" w:line="360"/>
        <w:jc w:val="right"/>
        <w:rPr>
          <w:rFonts w:ascii="Gadugi" w:hAnsi="Gadugi"/>
          <w:sz w:val="18"/>
          <w:szCs w:val="18"/>
        </w:rPr>
      </w:pPr>
      <w:r>
        <w:rPr>
          <w:rFonts w:ascii="Gadugi" w:hAnsi="Gadugi"/>
          <w:sz w:val="18"/>
          <w:szCs w:val="18"/>
          <w:shd w:fill="FFFFFF" w:val="clear"/>
        </w:rPr>
        <w:t>Santa Bárbara do Sul/ RS, ............................................................... 2026</w:t>
      </w:r>
      <w:r>
        <w:rPr>
          <w:rFonts w:ascii="Gadugi" w:hAnsi="Gadugi"/>
          <w:color w:val="000000"/>
          <w:sz w:val="18"/>
          <w:szCs w:val="18"/>
          <w:shd w:fill="FFFFFF" w:val="clear"/>
        </w:rPr>
        <w:t>.</w:t>
      </w:r>
    </w:p>
    <w:p>
      <w:pPr>
        <w:pStyle w:val="Normal"/>
        <w:spacing w:lineRule="auto" w:line="360"/>
        <w:jc w:val="both"/>
        <w:rPr>
          <w:rFonts w:ascii="Gadugi" w:hAnsi="Gadugi" w:cs="Gadugi"/>
          <w:sz w:val="18"/>
          <w:szCs w:val="18"/>
        </w:rPr>
      </w:pPr>
      <w:r>
        <w:rPr>
          <w:rFonts w:cs="Gadugi" w:ascii="Gadugi" w:hAnsi="Gadugi"/>
          <w:sz w:val="18"/>
          <w:szCs w:val="18"/>
        </w:rPr>
      </w:r>
    </w:p>
    <w:p>
      <w:pPr>
        <w:pStyle w:val="Normal"/>
        <w:spacing w:lineRule="auto" w:line="360"/>
        <w:jc w:val="both"/>
        <w:rPr>
          <w:rFonts w:ascii="Gadugi" w:hAnsi="Gadugi" w:cs="Gadugi"/>
          <w:sz w:val="18"/>
          <w:szCs w:val="18"/>
        </w:rPr>
      </w:pPr>
      <w:r>
        <w:rPr>
          <w:rFonts w:cs="Gadugi" w:ascii="Gadugi" w:hAnsi="Gadugi"/>
          <w:sz w:val="18"/>
          <w:szCs w:val="18"/>
        </w:rPr>
      </w:r>
    </w:p>
    <w:p>
      <w:pPr>
        <w:pStyle w:val="Normal"/>
        <w:spacing w:lineRule="auto" w:line="360"/>
        <w:jc w:val="center"/>
        <w:rPr>
          <w:sz w:val="18"/>
          <w:szCs w:val="18"/>
        </w:rPr>
      </w:pPr>
      <w:r>
        <w:rPr>
          <w:rFonts w:cs="Gadugi" w:ascii="Gadugi" w:hAnsi="Gadugi"/>
          <w:sz w:val="18"/>
          <w:szCs w:val="18"/>
        </w:rPr>
        <w:t>Leandro Caraffini Veneral</w:t>
      </w:r>
    </w:p>
    <w:p>
      <w:pPr>
        <w:pStyle w:val="Normal"/>
        <w:spacing w:lineRule="auto" w:line="360"/>
        <w:jc w:val="center"/>
        <w:rPr>
          <w:sz w:val="18"/>
          <w:szCs w:val="18"/>
        </w:rPr>
      </w:pPr>
      <w:r>
        <w:rPr>
          <w:sz w:val="18"/>
          <w:szCs w:val="18"/>
        </w:rPr>
        <w:t>Prefeito</w:t>
      </w:r>
    </w:p>
    <w:p>
      <w:pPr>
        <w:pStyle w:val="Normal"/>
        <w:widowControl w:val="false"/>
        <w:spacing w:lineRule="auto" w:line="360"/>
        <w:ind w:right="-30"/>
        <w:jc w:val="center"/>
        <w:rPr>
          <w:rFonts w:ascii="Arial" w:hAnsi="Arial" w:cs="Arial"/>
          <w:sz w:val="18"/>
          <w:szCs w:val="18"/>
        </w:rPr>
      </w:pPr>
      <w:r>
        <w:rPr>
          <w:rFonts w:cs="Arial" w:ascii="Arial" w:hAnsi="Arial"/>
          <w:sz w:val="18"/>
          <w:szCs w:val="18"/>
        </w:rPr>
      </w:r>
    </w:p>
    <w:p>
      <w:pPr>
        <w:pStyle w:val="Normal"/>
        <w:widowControl w:val="false"/>
        <w:spacing w:lineRule="auto" w:line="360"/>
        <w:ind w:right="-30"/>
        <w:jc w:val="both"/>
        <w:rPr>
          <w:rFonts w:ascii="Arial" w:hAnsi="Arial" w:cs="Arial"/>
          <w:sz w:val="18"/>
          <w:szCs w:val="18"/>
        </w:rPr>
      </w:pPr>
      <w:r>
        <w:rPr>
          <w:rFonts w:cs="Arial" w:ascii="Arial" w:hAnsi="Arial"/>
          <w:sz w:val="18"/>
          <w:szCs w:val="18"/>
        </w:rPr>
      </w:r>
    </w:p>
    <w:p>
      <w:pPr>
        <w:pStyle w:val="Normal"/>
        <w:widowControl w:val="false"/>
        <w:spacing w:lineRule="auto" w:line="360"/>
        <w:ind w:right="-30"/>
        <w:jc w:val="both"/>
        <w:rPr>
          <w:rFonts w:ascii="Arial" w:hAnsi="Arial" w:cs="Arial"/>
          <w:sz w:val="18"/>
          <w:szCs w:val="18"/>
        </w:rPr>
      </w:pPr>
      <w:r>
        <w:rPr>
          <w:rFonts w:cs="Arial" w:ascii="Arial" w:hAnsi="Arial"/>
          <w:sz w:val="18"/>
          <w:szCs w:val="18"/>
        </w:rPr>
      </w:r>
    </w:p>
    <w:p>
      <w:pPr>
        <w:pStyle w:val="Normal"/>
        <w:widowControl w:val="false"/>
        <w:spacing w:lineRule="auto" w:line="360"/>
        <w:ind w:right="-30"/>
        <w:jc w:val="both"/>
        <w:rPr>
          <w:rFonts w:ascii="Arial" w:hAnsi="Arial" w:cs="Arial"/>
          <w:sz w:val="18"/>
          <w:szCs w:val="18"/>
        </w:rPr>
      </w:pPr>
      <w:r>
        <w:rPr>
          <w:rFonts w:cs="Arial" w:ascii="Arial" w:hAnsi="Arial"/>
          <w:sz w:val="18"/>
          <w:szCs w:val="18"/>
        </w:rPr>
      </w:r>
    </w:p>
    <w:p>
      <w:pPr>
        <w:pStyle w:val="Normal"/>
        <w:widowControl w:val="false"/>
        <w:spacing w:lineRule="auto" w:line="360"/>
        <w:ind w:right="-30"/>
        <w:jc w:val="both"/>
        <w:rPr>
          <w:rFonts w:ascii="Arial" w:hAnsi="Arial" w:cs="Arial"/>
          <w:sz w:val="18"/>
          <w:szCs w:val="18"/>
        </w:rPr>
      </w:pPr>
      <w:r>
        <w:rPr>
          <w:rFonts w:cs="Arial" w:ascii="Arial" w:hAnsi="Arial"/>
          <w:sz w:val="18"/>
          <w:szCs w:val="18"/>
        </w:rPr>
      </w:r>
    </w:p>
    <w:p>
      <w:pPr>
        <w:pStyle w:val="Normal"/>
        <w:widowControl w:val="false"/>
        <w:spacing w:lineRule="auto" w:line="360"/>
        <w:ind w:right="-3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center"/>
        <w:rPr>
          <w:rFonts w:ascii="Arial" w:hAnsi="Arial" w:cs="Arial"/>
          <w:b/>
          <w:bCs/>
          <w:sz w:val="18"/>
          <w:szCs w:val="18"/>
        </w:rPr>
      </w:pPr>
      <w:r>
        <w:rPr>
          <w:rFonts w:cs="Arial" w:ascii="Arial" w:hAnsi="Arial"/>
          <w:b/>
          <w:bCs/>
          <w:sz w:val="18"/>
          <w:szCs w:val="18"/>
        </w:rPr>
        <w:t>ANEXO IV</w:t>
      </w:r>
    </w:p>
    <w:p>
      <w:pPr>
        <w:pStyle w:val="Normal"/>
        <w:spacing w:lineRule="auto" w:line="360"/>
        <w:jc w:val="center"/>
        <w:rPr>
          <w:rFonts w:ascii="Arial" w:hAnsi="Arial" w:cs="Arial"/>
          <w:b/>
          <w:bCs/>
          <w:sz w:val="18"/>
          <w:szCs w:val="18"/>
        </w:rPr>
      </w:pPr>
      <w:r>
        <w:rPr>
          <w:rFonts w:cs="Arial" w:ascii="Arial" w:hAnsi="Arial"/>
          <w:b/>
          <w:bCs/>
          <w:sz w:val="18"/>
          <w:szCs w:val="18"/>
        </w:rPr>
      </w:r>
    </w:p>
    <w:p>
      <w:pPr>
        <w:pStyle w:val="Normal"/>
        <w:spacing w:lineRule="auto" w:line="360"/>
        <w:jc w:val="center"/>
        <w:rPr>
          <w:rFonts w:ascii="Arial" w:hAnsi="Arial" w:cs="Arial"/>
          <w:b/>
          <w:bCs/>
          <w:sz w:val="18"/>
          <w:szCs w:val="18"/>
        </w:rPr>
      </w:pPr>
      <w:r>
        <w:rPr>
          <w:rFonts w:cs="Arial" w:ascii="Arial" w:hAnsi="Arial"/>
          <w:b/>
          <w:bCs/>
          <w:sz w:val="18"/>
          <w:szCs w:val="18"/>
        </w:rPr>
      </w:r>
    </w:p>
    <w:p>
      <w:pPr>
        <w:pStyle w:val="Normal"/>
        <w:spacing w:lineRule="auto" w:line="360"/>
        <w:jc w:val="center"/>
        <w:rPr>
          <w:rFonts w:ascii="Arial" w:hAnsi="Arial" w:cs="Arial"/>
          <w:b/>
          <w:bCs/>
          <w:sz w:val="18"/>
          <w:szCs w:val="18"/>
        </w:rPr>
      </w:pPr>
      <w:r>
        <w:rPr>
          <w:rFonts w:cs="Arial" w:ascii="Arial" w:hAnsi="Arial"/>
          <w:b/>
          <w:bCs/>
          <w:sz w:val="18"/>
          <w:szCs w:val="18"/>
        </w:rPr>
      </w:r>
    </w:p>
    <w:p>
      <w:pPr>
        <w:pStyle w:val="Normal"/>
        <w:spacing w:lineRule="auto" w:line="360"/>
        <w:jc w:val="center"/>
        <w:rPr>
          <w:rFonts w:ascii="Arial" w:hAnsi="Arial" w:cs="Arial"/>
          <w:sz w:val="18"/>
          <w:szCs w:val="18"/>
        </w:rPr>
      </w:pPr>
      <w:r>
        <w:rPr>
          <w:rFonts w:cs="Arial" w:ascii="Arial" w:hAnsi="Arial"/>
          <w:sz w:val="18"/>
          <w:szCs w:val="18"/>
        </w:rPr>
      </w:r>
    </w:p>
    <w:p>
      <w:pPr>
        <w:pStyle w:val="Normal"/>
        <w:jc w:val="center"/>
        <w:rPr>
          <w:rFonts w:ascii="Arial" w:hAnsi="Arial" w:cs="Arial"/>
          <w:sz w:val="18"/>
          <w:szCs w:val="18"/>
        </w:rPr>
      </w:pPr>
      <w:r>
        <w:rPr>
          <w:rFonts w:eastAsia="Arial" w:cs="Arial" w:ascii="Arial" w:hAnsi="Arial"/>
          <w:b/>
          <w:color w:val="000000"/>
          <w:sz w:val="18"/>
          <w:szCs w:val="18"/>
        </w:rPr>
        <w:t>AUTORIZAÇÃO</w:t>
      </w:r>
    </w:p>
    <w:p>
      <w:pPr>
        <w:pStyle w:val="Normal"/>
        <w:jc w:val="both"/>
        <w:rPr>
          <w:rFonts w:ascii="Arial" w:hAnsi="Arial" w:cs="Arial"/>
          <w:sz w:val="18"/>
          <w:szCs w:val="18"/>
        </w:rPr>
      </w:pPr>
      <w:r>
        <w:rPr>
          <w:rFonts w:cs="Arial" w:ascii="Arial" w:hAnsi="Arial"/>
          <w:sz w:val="18"/>
          <w:szCs w:val="18"/>
        </w:rPr>
      </w:r>
    </w:p>
    <w:p>
      <w:pPr>
        <w:pStyle w:val="Normal"/>
        <w:spacing w:lineRule="auto" w:line="480"/>
        <w:jc w:val="both"/>
        <w:rPr>
          <w:rFonts w:ascii="Arial" w:hAnsi="Arial" w:cs="Arial"/>
          <w:sz w:val="18"/>
          <w:szCs w:val="18"/>
        </w:rPr>
      </w:pPr>
      <w:r>
        <w:rPr>
          <w:rFonts w:eastAsia="Arial" w:cs="Arial" w:ascii="Arial" w:hAnsi="Arial"/>
          <w:color w:val="000000"/>
          <w:sz w:val="18"/>
          <w:szCs w:val="18"/>
        </w:rPr>
        <w:t xml:space="preserve">Considerando o Pedido de Compras anexos ao processo </w:t>
      </w:r>
      <w:r>
        <w:rPr>
          <w:rFonts w:eastAsia="Arial" w:cs="Arial" w:ascii="Arial" w:hAnsi="Arial"/>
          <w:b/>
          <w:color w:val="000000"/>
          <w:sz w:val="18"/>
          <w:szCs w:val="18"/>
        </w:rPr>
        <w:t xml:space="preserve">AUTORIZO </w:t>
      </w:r>
      <w:r>
        <w:rPr>
          <w:rFonts w:eastAsia="Arial" w:cs="Arial" w:ascii="Arial" w:hAnsi="Arial"/>
          <w:color w:val="000000"/>
          <w:sz w:val="18"/>
          <w:szCs w:val="18"/>
        </w:rPr>
        <w:t xml:space="preserve">a Equipe de Licitações através de pregoeiro (a) instituída pela </w:t>
      </w:r>
      <w:r>
        <w:rPr>
          <w:rFonts w:eastAsia="Arial" w:cs="Arial" w:ascii="Arial" w:hAnsi="Arial"/>
          <w:b/>
          <w:color w:val="000000"/>
          <w:sz w:val="18"/>
          <w:szCs w:val="18"/>
        </w:rPr>
        <w:t>Portaria n°355/2025</w:t>
      </w:r>
      <w:r>
        <w:rPr>
          <w:rFonts w:eastAsia="Arial" w:cs="Arial" w:ascii="Arial" w:hAnsi="Arial"/>
          <w:color w:val="000000"/>
          <w:sz w:val="18"/>
          <w:szCs w:val="18"/>
        </w:rPr>
        <w:t xml:space="preserve">, e em consonância ao disposto na </w:t>
      </w:r>
      <w:r>
        <w:rPr>
          <w:rFonts w:eastAsia="Arial" w:cs="Arial" w:ascii="Arial" w:hAnsi="Arial"/>
          <w:b/>
          <w:color w:val="000000"/>
          <w:sz w:val="18"/>
          <w:szCs w:val="18"/>
        </w:rPr>
        <w:t>Lei Federal nº 14.133</w:t>
      </w:r>
      <w:r>
        <w:rPr>
          <w:rFonts w:eastAsia="Arial" w:cs="Arial" w:ascii="Arial" w:hAnsi="Arial"/>
          <w:color w:val="000000"/>
          <w:sz w:val="18"/>
          <w:szCs w:val="18"/>
        </w:rPr>
        <w:t>, de 01 de abril de 2021, com suas posteriores alterações, a abrir processo licitatório próprio para</w:t>
      </w:r>
      <w:r>
        <w:rPr>
          <w:rFonts w:cs="Arial" w:ascii="Arial" w:hAnsi="Arial"/>
          <w:i/>
          <w:iCs/>
          <w:color w:val="000000"/>
          <w:sz w:val="18"/>
          <w:szCs w:val="18"/>
        </w:rPr>
        <w:t xml:space="preserve"> </w:t>
      </w:r>
      <w:r>
        <w:rPr>
          <w:rFonts w:cs="Arial" w:ascii="Arial" w:hAnsi="Arial"/>
          <w:b/>
          <w:bCs/>
          <w:sz w:val="20"/>
          <w:szCs w:val="20"/>
        </w:rPr>
        <w:t>CONTRATAÇÃO DE SERVIÇOS PROFISSIONAIS PARA REALIZAÇÃO DO TRANSPORTE ESCOLAR</w:t>
      </w:r>
      <w:r>
        <w:rPr>
          <w:rFonts w:cs="Arial" w:ascii="Arial" w:hAnsi="Arial"/>
          <w:i/>
          <w:iCs/>
          <w:color w:themeColor="text1" w:val="000000"/>
          <w:sz w:val="18"/>
          <w:szCs w:val="18"/>
        </w:rPr>
        <w:t>,</w:t>
      </w:r>
      <w:r>
        <w:rPr>
          <w:rFonts w:eastAsia="Arial" w:cs="Arial" w:ascii="Arial" w:hAnsi="Arial"/>
          <w:color w:val="000000"/>
          <w:sz w:val="18"/>
          <w:szCs w:val="18"/>
        </w:rPr>
        <w:t xml:space="preserve"> </w:t>
      </w:r>
      <w:r>
        <w:rPr>
          <w:rFonts w:eastAsia="Arial" w:cs="Arial" w:ascii="Arial" w:hAnsi="Arial"/>
          <w:color w:val="000000"/>
          <w:sz w:val="18"/>
          <w:szCs w:val="18"/>
          <w:shd w:fill="FFFFFF" w:val="clear"/>
        </w:rPr>
        <w:t>conforme pesquisa de preços efetuados pelo Setor de compras, c</w:t>
      </w:r>
      <w:r>
        <w:rPr>
          <w:rFonts w:eastAsia="Arial" w:cs="Arial" w:ascii="Arial" w:hAnsi="Arial"/>
          <w:color w:val="000000"/>
          <w:sz w:val="18"/>
          <w:szCs w:val="18"/>
        </w:rPr>
        <w:t>om fiel observância à legislação e formalidades pertinentes em vigor, devendo ser mantido prévio entendimento com a Secretaria Municipal de Fazenda, para verificar a existência de disponibilidade orçamentária.</w:t>
      </w:r>
    </w:p>
    <w:p>
      <w:pPr>
        <w:pStyle w:val="Normal"/>
        <w:spacing w:lineRule="auto" w:line="480" w:before="200" w:after="200"/>
        <w:ind w:firstLine="2835"/>
        <w:jc w:val="both"/>
        <w:rPr>
          <w:rFonts w:ascii="Arial" w:hAnsi="Arial" w:cs="Arial"/>
          <w:sz w:val="18"/>
          <w:szCs w:val="18"/>
        </w:rPr>
      </w:pPr>
      <w:r>
        <w:rPr>
          <w:rFonts w:cs="Arial" w:ascii="Arial" w:hAnsi="Arial"/>
          <w:sz w:val="18"/>
          <w:szCs w:val="18"/>
        </w:rPr>
      </w:r>
    </w:p>
    <w:p>
      <w:pPr>
        <w:pStyle w:val="Normal"/>
        <w:spacing w:lineRule="auto" w:line="480" w:before="200" w:after="200"/>
        <w:ind w:firstLine="2835"/>
        <w:jc w:val="both"/>
        <w:rPr>
          <w:rFonts w:ascii="Arial" w:hAnsi="Arial" w:cs="Arial"/>
          <w:sz w:val="18"/>
          <w:szCs w:val="18"/>
        </w:rPr>
      </w:pPr>
      <w:r>
        <w:rPr>
          <w:rFonts w:cs="Arial" w:ascii="Arial" w:hAnsi="Arial"/>
          <w:sz w:val="18"/>
          <w:szCs w:val="18"/>
        </w:rPr>
      </w:r>
    </w:p>
    <w:p>
      <w:pPr>
        <w:pStyle w:val="Normal"/>
        <w:spacing w:lineRule="auto" w:line="480" w:before="200" w:after="200"/>
        <w:ind w:firstLine="2835"/>
        <w:jc w:val="both"/>
        <w:rPr>
          <w:rFonts w:ascii="Arial" w:hAnsi="Arial" w:cs="Arial"/>
          <w:sz w:val="18"/>
          <w:szCs w:val="18"/>
        </w:rPr>
      </w:pPr>
      <w:r>
        <w:rPr>
          <w:rFonts w:cs="Arial" w:ascii="Arial" w:hAnsi="Arial"/>
          <w:sz w:val="18"/>
          <w:szCs w:val="18"/>
        </w:rPr>
      </w:r>
    </w:p>
    <w:p>
      <w:pPr>
        <w:pStyle w:val="Normal"/>
        <w:spacing w:lineRule="auto" w:line="360"/>
        <w:jc w:val="right"/>
        <w:rPr>
          <w:rFonts w:ascii="Arial" w:hAnsi="Arial" w:cs="Arial"/>
          <w:sz w:val="18"/>
          <w:szCs w:val="18"/>
        </w:rPr>
      </w:pPr>
      <w:r>
        <w:rPr>
          <w:rFonts w:cs="Arial" w:ascii="Arial" w:hAnsi="Arial"/>
          <w:sz w:val="18"/>
          <w:szCs w:val="18"/>
          <w:shd w:fill="FFFFFF" w:val="clear"/>
        </w:rPr>
        <w:t>Santa Bárbara do Sul/RS, 10 de julho de 2026.</w:t>
      </w:r>
    </w:p>
    <w:p>
      <w:pPr>
        <w:pStyle w:val="Normal"/>
        <w:spacing w:before="200" w:after="200"/>
        <w:jc w:val="both"/>
        <w:rPr>
          <w:rFonts w:ascii="Arial" w:hAnsi="Arial" w:cs="Arial"/>
          <w:sz w:val="18"/>
          <w:szCs w:val="18"/>
        </w:rPr>
      </w:pPr>
      <w:r>
        <w:rPr>
          <w:rFonts w:cs="Arial" w:ascii="Arial" w:hAnsi="Arial"/>
          <w:sz w:val="18"/>
          <w:szCs w:val="18"/>
        </w:rPr>
      </w:r>
    </w:p>
    <w:p>
      <w:pPr>
        <w:pStyle w:val="Normal"/>
        <w:spacing w:before="200" w:after="200"/>
        <w:jc w:val="both"/>
        <w:rPr>
          <w:rFonts w:ascii="Arial" w:hAnsi="Arial" w:cs="Arial"/>
          <w:sz w:val="18"/>
          <w:szCs w:val="18"/>
        </w:rPr>
      </w:pPr>
      <w:r>
        <w:rPr>
          <w:rFonts w:cs="Arial" w:ascii="Arial" w:hAnsi="Arial"/>
          <w:sz w:val="18"/>
          <w:szCs w:val="18"/>
        </w:rPr>
        <w:br/>
      </w:r>
    </w:p>
    <w:p>
      <w:pPr>
        <w:pStyle w:val="Normal"/>
        <w:spacing w:before="200" w:after="200"/>
        <w:jc w:val="both"/>
        <w:rPr>
          <w:rFonts w:ascii="Arial" w:hAnsi="Arial" w:cs="Arial"/>
          <w:sz w:val="18"/>
          <w:szCs w:val="18"/>
        </w:rPr>
      </w:pPr>
      <w:r>
        <w:rPr>
          <w:rFonts w:cs="Arial" w:ascii="Arial" w:hAnsi="Arial"/>
          <w:sz w:val="18"/>
          <w:szCs w:val="18"/>
        </w:rPr>
      </w:r>
    </w:p>
    <w:p>
      <w:pPr>
        <w:pStyle w:val="Normal"/>
        <w:spacing w:before="200" w:after="200"/>
        <w:jc w:val="both"/>
        <w:rPr>
          <w:rFonts w:ascii="Arial" w:hAnsi="Arial" w:cs="Arial"/>
          <w:sz w:val="18"/>
          <w:szCs w:val="18"/>
        </w:rPr>
      </w:pPr>
      <w:r>
        <w:rPr>
          <w:rFonts w:cs="Arial" w:ascii="Arial" w:hAnsi="Arial"/>
          <w:sz w:val="18"/>
          <w:szCs w:val="18"/>
        </w:rPr>
      </w:r>
    </w:p>
    <w:p>
      <w:pPr>
        <w:pStyle w:val="Normal"/>
        <w:spacing w:before="200" w:after="200"/>
        <w:jc w:val="both"/>
        <w:rPr>
          <w:rFonts w:ascii="Arial" w:hAnsi="Arial" w:cs="Arial"/>
          <w:sz w:val="18"/>
          <w:szCs w:val="18"/>
        </w:rPr>
      </w:pPr>
      <w:r>
        <w:rPr>
          <w:rFonts w:cs="Arial" w:ascii="Arial" w:hAnsi="Arial"/>
          <w:sz w:val="18"/>
          <w:szCs w:val="18"/>
        </w:rPr>
      </w:r>
    </w:p>
    <w:p>
      <w:pPr>
        <w:pStyle w:val="Normal"/>
        <w:spacing w:lineRule="auto" w:line="360"/>
        <w:jc w:val="center"/>
        <w:rPr>
          <w:rFonts w:ascii="Arial" w:hAnsi="Arial" w:cs="Arial"/>
          <w:sz w:val="18"/>
          <w:szCs w:val="18"/>
        </w:rPr>
      </w:pPr>
      <w:r>
        <w:rPr>
          <w:rFonts w:cs="Arial" w:ascii="Arial" w:hAnsi="Arial"/>
          <w:sz w:val="18"/>
          <w:szCs w:val="18"/>
        </w:rPr>
        <w:t>Leandro Caraffini Veneral</w:t>
      </w:r>
    </w:p>
    <w:p>
      <w:pPr>
        <w:pStyle w:val="Normal"/>
        <w:spacing w:lineRule="auto" w:line="360"/>
        <w:jc w:val="center"/>
        <w:rPr>
          <w:rFonts w:ascii="Arial" w:hAnsi="Arial" w:cs="Arial"/>
          <w:bCs/>
          <w:i/>
          <w:color w:val="000000"/>
          <w:sz w:val="18"/>
          <w:szCs w:val="18"/>
        </w:rPr>
      </w:pPr>
      <w:r>
        <w:rPr>
          <w:rFonts w:cs="Arial" w:ascii="Arial" w:hAnsi="Arial"/>
          <w:sz w:val="18"/>
          <w:szCs w:val="18"/>
        </w:rPr>
        <w:t>Prefeito</w:t>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b/>
          <w:bCs/>
          <w:color w:themeColor="text1" w:val="000000"/>
          <w:sz w:val="18"/>
          <w:szCs w:val="18"/>
        </w:rPr>
      </w:pPr>
      <w:r>
        <w:rPr>
          <w:rFonts w:cs="Arial" w:ascii="Arial" w:hAnsi="Arial"/>
          <w:b/>
          <w:bCs/>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widowControl w:val="false"/>
        <w:spacing w:lineRule="auto" w:line="360"/>
        <w:ind w:right="-30"/>
        <w:jc w:val="center"/>
        <w:rPr>
          <w:rFonts w:ascii="Arial" w:hAnsi="Arial" w:cs="Arial"/>
          <w:b/>
          <w:bCs/>
          <w:sz w:val="18"/>
          <w:szCs w:val="18"/>
        </w:rPr>
      </w:pPr>
      <w:r>
        <w:rPr>
          <w:rFonts w:cs="Arial" w:ascii="Arial" w:hAnsi="Arial"/>
          <w:b/>
          <w:bCs/>
          <w:color w:val="000000"/>
          <w:sz w:val="18"/>
          <w:szCs w:val="18"/>
        </w:rPr>
        <w:t>ANEXO V</w:t>
      </w:r>
    </w:p>
    <w:p>
      <w:pPr>
        <w:pStyle w:val="Normal"/>
        <w:widowControl w:val="false"/>
        <w:spacing w:lineRule="auto" w:line="360"/>
        <w:ind w:right="-30"/>
        <w:jc w:val="center"/>
        <w:rPr>
          <w:rFonts w:ascii="Arial" w:hAnsi="Arial" w:cs="Arial"/>
          <w:sz w:val="18"/>
          <w:szCs w:val="18"/>
        </w:rPr>
      </w:pPr>
      <w:r>
        <w:rPr>
          <w:rFonts w:cs="Arial" w:ascii="Arial" w:hAnsi="Arial"/>
          <w:sz w:val="18"/>
          <w:szCs w:val="18"/>
        </w:rPr>
      </w:r>
    </w:p>
    <w:p>
      <w:pPr>
        <w:pStyle w:val="Normal"/>
        <w:spacing w:lineRule="auto" w:line="360"/>
        <w:jc w:val="center"/>
        <w:rPr>
          <w:rFonts w:ascii="Arial" w:hAnsi="Arial" w:cs="Arial"/>
          <w:sz w:val="18"/>
          <w:szCs w:val="18"/>
        </w:rPr>
      </w:pPr>
      <w:r>
        <w:rPr>
          <w:rFonts w:cs="Arial" w:ascii="Arial" w:hAnsi="Arial"/>
          <w:sz w:val="18"/>
          <w:szCs w:val="18"/>
        </w:rPr>
      </w:r>
    </w:p>
    <w:p>
      <w:pPr>
        <w:pStyle w:val="Normal"/>
        <w:spacing w:lineRule="auto" w:line="360"/>
        <w:jc w:val="center"/>
        <w:rPr>
          <w:rFonts w:ascii="Arial" w:hAnsi="Arial" w:cs="Arial"/>
          <w:sz w:val="18"/>
          <w:szCs w:val="18"/>
        </w:rPr>
      </w:pPr>
      <w:r>
        <w:rPr>
          <w:rFonts w:cs="Arial" w:ascii="Arial" w:hAnsi="Arial"/>
          <w:b/>
          <w:bCs/>
          <w:sz w:val="18"/>
          <w:szCs w:val="18"/>
        </w:rPr>
        <w:t>ESTADO DO RIO GRANDE DO SUL</w:t>
      </w:r>
    </w:p>
    <w:p>
      <w:pPr>
        <w:pStyle w:val="Normal"/>
        <w:spacing w:lineRule="auto" w:line="360"/>
        <w:jc w:val="center"/>
        <w:rPr>
          <w:rFonts w:ascii="Arial" w:hAnsi="Arial" w:cs="Arial"/>
          <w:sz w:val="18"/>
          <w:szCs w:val="18"/>
        </w:rPr>
      </w:pPr>
      <w:r>
        <w:rPr>
          <w:rFonts w:cs="Arial" w:ascii="Arial" w:hAnsi="Arial"/>
          <w:b/>
          <w:bCs/>
          <w:sz w:val="18"/>
          <w:szCs w:val="18"/>
        </w:rPr>
        <w:t>PREFEITURA MUNICIPAL DE SANTA BÁRBARA DO SUL</w:t>
      </w:r>
    </w:p>
    <w:p>
      <w:pPr>
        <w:pStyle w:val="Normal"/>
        <w:spacing w:lineRule="auto" w:line="360"/>
        <w:jc w:val="center"/>
        <w:rPr>
          <w:rFonts w:ascii="Arial" w:hAnsi="Arial" w:cs="Arial"/>
          <w:sz w:val="18"/>
          <w:szCs w:val="18"/>
        </w:rPr>
      </w:pPr>
      <w:r>
        <w:rPr>
          <w:rFonts w:cs="Arial" w:ascii="Arial" w:hAnsi="Arial"/>
          <w:b/>
          <w:bCs/>
          <w:sz w:val="18"/>
          <w:szCs w:val="18"/>
        </w:rPr>
        <w:t>AVISO DE LICITAÇÃO</w:t>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t xml:space="preserve">Torno público abertura do </w:t>
      </w:r>
      <w:r>
        <w:rPr>
          <w:rFonts w:cs="Arial" w:ascii="Arial" w:hAnsi="Arial"/>
          <w:b/>
          <w:bCs/>
          <w:sz w:val="18"/>
          <w:szCs w:val="18"/>
        </w:rPr>
        <w:t>Processo Licitatório n° 127/2026</w:t>
      </w:r>
      <w:r>
        <w:rPr>
          <w:rFonts w:cs="Arial" w:ascii="Arial" w:hAnsi="Arial"/>
          <w:sz w:val="18"/>
          <w:szCs w:val="18"/>
        </w:rPr>
        <w:t xml:space="preserve">, na modalidade </w:t>
      </w:r>
      <w:r>
        <w:rPr>
          <w:rFonts w:cs="Arial" w:ascii="Arial" w:hAnsi="Arial"/>
          <w:b/>
          <w:bCs/>
          <w:sz w:val="18"/>
          <w:szCs w:val="18"/>
        </w:rPr>
        <w:t>PREGÃO ELETRÔNICO Nº 39/2026</w:t>
      </w:r>
      <w:r>
        <w:rPr>
          <w:rFonts w:cs="Arial" w:ascii="Arial" w:hAnsi="Arial"/>
          <w:sz w:val="18"/>
          <w:szCs w:val="18"/>
        </w:rPr>
        <w:t xml:space="preserve">, </w:t>
      </w:r>
      <w:r>
        <w:rPr>
          <w:rFonts w:cs="Arial" w:ascii="Arial" w:hAnsi="Arial"/>
          <w:b/>
          <w:bCs/>
          <w:sz w:val="20"/>
          <w:szCs w:val="20"/>
        </w:rPr>
        <w:t>CONTRATAÇÃO DE SERVIÇOS PROFISSIONAIS PARA REALIZAÇÃO DO TRANSPORTE ESCOLAR</w:t>
      </w:r>
      <w:r>
        <w:rPr>
          <w:rFonts w:cs="Arial" w:ascii="Arial" w:hAnsi="Arial"/>
          <w:sz w:val="18"/>
          <w:szCs w:val="18"/>
        </w:rPr>
        <w:t xml:space="preserve">. Início das </w:t>
      </w:r>
      <w:r>
        <w:rPr>
          <w:rFonts w:cs="Arial" w:ascii="Arial" w:hAnsi="Arial"/>
          <w:b/>
          <w:bCs/>
          <w:sz w:val="18"/>
          <w:szCs w:val="18"/>
        </w:rPr>
        <w:t>Propostas: 08h do dia 1</w:t>
      </w:r>
      <w:r>
        <w:rPr>
          <w:rFonts w:cs="Arial" w:ascii="Arial" w:hAnsi="Arial"/>
          <w:b/>
          <w:bCs/>
          <w:sz w:val="18"/>
          <w:szCs w:val="18"/>
        </w:rPr>
        <w:t>4</w:t>
      </w:r>
      <w:r>
        <w:rPr>
          <w:rFonts w:cs="Arial" w:ascii="Arial" w:hAnsi="Arial"/>
          <w:b/>
          <w:bCs/>
          <w:sz w:val="18"/>
          <w:szCs w:val="18"/>
        </w:rPr>
        <w:t>/07/2026 até às 08h do dia 2</w:t>
      </w:r>
      <w:r>
        <w:rPr>
          <w:rFonts w:cs="Arial" w:ascii="Arial" w:hAnsi="Arial"/>
          <w:b/>
          <w:bCs/>
          <w:sz w:val="18"/>
          <w:szCs w:val="18"/>
        </w:rPr>
        <w:t>7</w:t>
      </w:r>
      <w:r>
        <w:rPr>
          <w:rFonts w:cs="Arial" w:ascii="Arial" w:hAnsi="Arial"/>
          <w:b/>
          <w:bCs/>
          <w:sz w:val="18"/>
          <w:szCs w:val="18"/>
        </w:rPr>
        <w:t>/07/2026. Início da sessão Pública: às 08hs01 do dia 2</w:t>
      </w:r>
      <w:r>
        <w:rPr>
          <w:rFonts w:cs="Arial" w:ascii="Arial" w:hAnsi="Arial"/>
          <w:b/>
          <w:bCs/>
          <w:sz w:val="18"/>
          <w:szCs w:val="18"/>
        </w:rPr>
        <w:t>7</w:t>
      </w:r>
      <w:r>
        <w:rPr>
          <w:rFonts w:cs="Arial" w:ascii="Arial" w:hAnsi="Arial"/>
          <w:b/>
          <w:bCs/>
          <w:sz w:val="18"/>
          <w:szCs w:val="18"/>
        </w:rPr>
        <w:t>/07/2026</w:t>
      </w:r>
      <w:r>
        <w:rPr>
          <w:rFonts w:cs="Arial" w:ascii="Arial" w:hAnsi="Arial"/>
          <w:sz w:val="18"/>
          <w:szCs w:val="18"/>
        </w:rPr>
        <w:t xml:space="preserve">, todos via portal </w:t>
      </w:r>
      <w:hyperlink r:id="rId86">
        <w:bookmarkStart w:id="55" w:name="http%25253A%25252F%25252Fwww.cidadecompr"/>
        <w:r>
          <w:rPr>
            <w:rStyle w:val="Hyperlink"/>
            <w:rFonts w:cs="Arial" w:ascii="Arial" w:hAnsi="Arial"/>
            <w:sz w:val="18"/>
            <w:szCs w:val="18"/>
          </w:rPr>
          <w:t>www.pregaobanrisul.com.br</w:t>
        </w:r>
      </w:hyperlink>
      <w:bookmarkEnd w:id="55"/>
      <w:r>
        <w:rPr>
          <w:rFonts w:cs="Arial" w:ascii="Arial" w:hAnsi="Arial"/>
          <w:sz w:val="18"/>
          <w:szCs w:val="18"/>
        </w:rPr>
        <w:t xml:space="preserve">, no horário de Brasília – DF. O Edital e informações complementares encontram-se a disposição dos interessados, junto à Comissão de Licitações, sito a Av. Eduardo de Brito, 101, Fone: 0xx 55 92000-7948, no horário de expediente e nos Sites: </w:t>
      </w:r>
      <w:hyperlink r:id="rId87">
        <w:bookmarkStart w:id="56" w:name="http%25253A%25252F%25252Fwww.pregaobanri"/>
        <w:r>
          <w:rPr>
            <w:rStyle w:val="Hyperlink"/>
            <w:rFonts w:cs="Arial" w:ascii="Arial" w:hAnsi="Arial"/>
            <w:sz w:val="18"/>
            <w:szCs w:val="18"/>
          </w:rPr>
          <w:t>www.pregaobanrisul.com.br</w:t>
        </w:r>
      </w:hyperlink>
      <w:bookmarkEnd w:id="56"/>
      <w:r>
        <w:rPr>
          <w:rFonts w:cs="Arial" w:ascii="Arial" w:hAnsi="Arial"/>
          <w:sz w:val="18"/>
          <w:szCs w:val="18"/>
        </w:rPr>
        <w:t xml:space="preserve"> </w:t>
      </w:r>
      <w:r>
        <w:rPr>
          <w:rFonts w:cs="Arial" w:ascii="Arial" w:hAnsi="Arial"/>
          <w:sz w:val="18"/>
          <w:szCs w:val="18"/>
          <w:u w:val="single"/>
        </w:rPr>
        <w:t xml:space="preserve">e </w:t>
      </w:r>
      <w:hyperlink r:id="rId88">
        <w:bookmarkStart w:id="57" w:name="http%25253A%25252F%25252Fwww.santabarbar"/>
        <w:r>
          <w:rPr>
            <w:rStyle w:val="Hyperlink"/>
            <w:rFonts w:cs="Arial" w:ascii="Arial" w:hAnsi="Arial"/>
            <w:sz w:val="18"/>
            <w:szCs w:val="18"/>
          </w:rPr>
          <w:t>www.santabarbaradosul.rs.gov.br</w:t>
        </w:r>
      </w:hyperlink>
      <w:bookmarkEnd w:id="57"/>
      <w:r>
        <w:rPr>
          <w:rFonts w:cs="Arial" w:ascii="Arial" w:hAnsi="Arial"/>
          <w:sz w:val="18"/>
          <w:szCs w:val="18"/>
          <w:u w:val="single"/>
        </w:rPr>
        <w:t>.</w:t>
      </w:r>
    </w:p>
    <w:p>
      <w:pPr>
        <w:pStyle w:val="Normal"/>
        <w:spacing w:lineRule="auto" w:line="360"/>
        <w:jc w:val="both"/>
        <w:rPr>
          <w:rFonts w:ascii="Arial" w:hAnsi="Arial" w:cs="Arial"/>
          <w:sz w:val="18"/>
          <w:szCs w:val="18"/>
        </w:rPr>
      </w:pPr>
      <w:r>
        <w:rPr>
          <w:rFonts w:cs="Arial" w:ascii="Arial" w:hAnsi="Arial"/>
          <w:i/>
          <w:iCs/>
          <w:sz w:val="18"/>
          <w:szCs w:val="18"/>
        </w:rPr>
        <w:t>Emitido por Vivian Lima Vargas - Pregoeira</w:t>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right"/>
        <w:rPr>
          <w:rFonts w:ascii="Arial" w:hAnsi="Arial" w:cs="Arial"/>
          <w:sz w:val="18"/>
          <w:szCs w:val="18"/>
        </w:rPr>
      </w:pPr>
      <w:r>
        <w:rPr>
          <w:rFonts w:cs="Arial" w:ascii="Arial" w:hAnsi="Arial"/>
          <w:sz w:val="18"/>
          <w:szCs w:val="18"/>
        </w:rPr>
        <w:t>Santa Bárbara do Sul/RS, 1</w:t>
      </w:r>
      <w:r>
        <w:rPr>
          <w:rFonts w:cs="Arial" w:ascii="Arial" w:hAnsi="Arial"/>
          <w:sz w:val="18"/>
          <w:szCs w:val="18"/>
        </w:rPr>
        <w:t>3</w:t>
      </w:r>
      <w:r>
        <w:rPr>
          <w:rFonts w:cs="Arial" w:ascii="Arial" w:hAnsi="Arial"/>
          <w:sz w:val="18"/>
          <w:szCs w:val="18"/>
        </w:rPr>
        <w:t xml:space="preserve"> de julho de 2026.</w:t>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center"/>
        <w:rPr>
          <w:rFonts w:ascii="Arial" w:hAnsi="Arial" w:cs="Arial"/>
          <w:sz w:val="18"/>
          <w:szCs w:val="18"/>
        </w:rPr>
      </w:pPr>
      <w:r>
        <w:rPr>
          <w:rFonts w:cs="Arial" w:ascii="Arial" w:hAnsi="Arial"/>
          <w:sz w:val="18"/>
          <w:szCs w:val="18"/>
        </w:rPr>
        <w:t>Leandro Caraffini Veneral</w:t>
      </w:r>
    </w:p>
    <w:p>
      <w:pPr>
        <w:pStyle w:val="Normal"/>
        <w:spacing w:lineRule="auto" w:line="360"/>
        <w:jc w:val="center"/>
        <w:rPr>
          <w:rFonts w:ascii="Arial" w:hAnsi="Arial" w:cs="Arial"/>
          <w:sz w:val="18"/>
          <w:szCs w:val="18"/>
        </w:rPr>
      </w:pPr>
      <w:r>
        <w:rPr>
          <w:rFonts w:cs="Arial" w:ascii="Arial" w:hAnsi="Arial"/>
          <w:sz w:val="18"/>
          <w:szCs w:val="18"/>
        </w:rPr>
        <w:t>Prefeito</w:t>
      </w:r>
    </w:p>
    <w:p>
      <w:pPr>
        <w:pStyle w:val="Normal"/>
        <w:spacing w:lineRule="auto" w:line="360"/>
        <w:jc w:val="center"/>
        <w:rPr>
          <w:rFonts w:ascii="Gadugi" w:hAnsi="Gadugi" w:cs="Gadugi"/>
          <w:sz w:val="18"/>
          <w:szCs w:val="18"/>
        </w:rPr>
      </w:pPr>
      <w:r>
        <w:rPr>
          <w:rFonts w:cs="Gadugi" w:ascii="Gadugi" w:hAnsi="Gadugi"/>
          <w:sz w:val="18"/>
          <w:szCs w:val="18"/>
        </w:rPr>
      </w:r>
    </w:p>
    <w:p>
      <w:pPr>
        <w:pStyle w:val="Normal"/>
        <w:spacing w:lineRule="auto" w:line="360"/>
        <w:jc w:val="center"/>
        <w:rPr>
          <w:rFonts w:ascii="Gadugi" w:hAnsi="Gadugi" w:cs="Gadugi"/>
          <w:sz w:val="18"/>
          <w:szCs w:val="18"/>
        </w:rPr>
      </w:pPr>
      <w:r>
        <w:rPr>
          <w:rFonts w:cs="Gadugi" w:ascii="Gadugi" w:hAnsi="Gadugi"/>
          <w:sz w:val="18"/>
          <w:szCs w:val="18"/>
        </w:rPr>
      </w:r>
    </w:p>
    <w:p>
      <w:pPr>
        <w:pStyle w:val="Normal"/>
        <w:spacing w:lineRule="auto" w:line="312" w:before="288" w:after="288"/>
        <w:ind w:firstLine="567"/>
        <w:jc w:val="center"/>
        <w:rPr>
          <w:rFonts w:ascii="Gadugi" w:hAnsi="Gadugi" w:cs="Gadugi"/>
          <w:sz w:val="18"/>
          <w:szCs w:val="18"/>
        </w:rPr>
      </w:pPr>
      <w:r>
        <w:rPr>
          <w:rFonts w:cs="Gadugi" w:ascii="Gadugi" w:hAnsi="Gadugi"/>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sectPr>
      <w:headerReference w:type="even" r:id="rId89"/>
      <w:headerReference w:type="default" r:id="rId90"/>
      <w:headerReference w:type="first" r:id="rId91"/>
      <w:footerReference w:type="even" r:id="rId92"/>
      <w:footerReference w:type="default" r:id="rId93"/>
      <w:footerReference w:type="first" r:id="rId94"/>
      <w:type w:val="nextPage"/>
      <w:pgSz w:w="11906" w:h="16838"/>
      <w:pgMar w:left="1134" w:right="964" w:gutter="0" w:header="0" w:top="1560" w:footer="0" w:bottom="1276"/>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Ecofont_Spranq_eco_Sans">
    <w:charset w:val="00"/>
    <w:family w:val="roman"/>
    <w:pitch w:val="variable"/>
  </w:font>
  <w:font w:name="Calibri">
    <w:charset w:val="00"/>
    <w:family w:val="roman"/>
    <w:pitch w:val="variable"/>
  </w:font>
  <w:font w:name="Tahoma">
    <w:charset w:val="00"/>
    <w:family w:val="swiss"/>
    <w:pitch w:val="variable"/>
  </w:font>
  <w:font w:name="Liberation Sans">
    <w:altName w:val="Arial"/>
    <w:charset w:val="00"/>
    <w:family w:val="swiss"/>
    <w:pitch w:val="variable"/>
  </w:font>
  <w:font w:name="Arial MT">
    <w:charset w:val="00"/>
    <w:family w:val="swiss"/>
    <w:pitch w:val="variable"/>
  </w:font>
  <w:font w:name="Gadugi">
    <w:charset w:val="00"/>
    <w:family w:val="swiss"/>
    <w:pitch w:val="variable"/>
  </w:font>
  <w:font w:name="Cambria">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spacing w:before="240" w:after="0"/>
      <w:rPr>
        <w:rFonts w:ascii="Arial" w:hAnsi="Arial" w:cs="Arial"/>
        <w:sz w:val="14"/>
        <w:szCs w:val="14"/>
      </w:rPr>
    </w:pPr>
    <w:r>
      <w:rPr>
        <w:rFonts w:cs="Arial" w:ascii="Arial" w:hAnsi="Arial"/>
        <w:sz w:val="14"/>
        <w:szCs w:val="14"/>
      </w:rPr>
      <w:drawing>
        <wp:anchor distT="0" distB="0" distL="0" distR="114300" simplePos="0" relativeHeight="70" behindDoc="0" locked="0" layoutInCell="0" allowOverlap="1">
          <wp:simplePos x="0" y="0"/>
          <wp:positionH relativeFrom="margin">
            <wp:posOffset>287655</wp:posOffset>
          </wp:positionH>
          <wp:positionV relativeFrom="paragraph">
            <wp:posOffset>-552450</wp:posOffset>
          </wp:positionV>
          <wp:extent cx="5400040" cy="633095"/>
          <wp:effectExtent l="0" t="0" r="0" b="0"/>
          <wp:wrapTight wrapText="bothSides">
            <wp:wrapPolygon edited="0">
              <wp:start x="-1" y="0"/>
              <wp:lineTo x="-1" y="20797"/>
              <wp:lineTo x="21485" y="20797"/>
              <wp:lineTo x="21485" y="0"/>
              <wp:lineTo x="-1" y="0"/>
            </wp:wrapPolygon>
          </wp:wrapTight>
          <wp:docPr id="5"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4"/>
                  <pic:cNvPicPr>
                    <a:picLocks noChangeAspect="1" noChangeArrowheads="1"/>
                  </pic:cNvPicPr>
                </pic:nvPicPr>
                <pic:blipFill>
                  <a:blip r:embed="rId1"/>
                  <a:srcRect l="0" t="22413" r="0" b="15889"/>
                  <a:stretch>
                    <a:fillRect/>
                  </a:stretch>
                </pic:blipFill>
                <pic:spPr bwMode="auto">
                  <a:xfrm>
                    <a:off x="0" y="0"/>
                    <a:ext cx="5400040" cy="633095"/>
                  </a:xfrm>
                  <a:prstGeom prst="rect">
                    <a:avLst/>
                  </a:prstGeom>
                  <a:noFill/>
                </pic:spPr>
              </pic:pic>
            </a:graphicData>
          </a:graphic>
        </wp:anchor>
      </w:drawing>
    </w:r>
    <w:bookmarkStart w:id="58" w:name="_Hlk135299703"/>
    <w:bookmarkEnd w:id="58"/>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p>
    <w:pPr>
      <w:pStyle w:val="Footer"/>
      <w:rPr/>
    </w:pPr>
    <w:r>
      <w:rPr/>
    </w:r>
  </w:p>
  <w:p>
    <w:pPr>
      <w:pStyle w:val="Footer"/>
      <w:rPr/>
    </w:pPr>
    <w:r>
      <w:rPr/>
    </w:r>
  </w:p>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anchor distT="0" distB="0" distL="114300" distR="114300" simplePos="0" relativeHeight="36" behindDoc="1" locked="0" layoutInCell="0" allowOverlap="1">
          <wp:simplePos x="0" y="0"/>
          <wp:positionH relativeFrom="margin">
            <wp:posOffset>2084705</wp:posOffset>
          </wp:positionH>
          <wp:positionV relativeFrom="margin">
            <wp:posOffset>-889635</wp:posOffset>
          </wp:positionV>
          <wp:extent cx="1941195" cy="916305"/>
          <wp:effectExtent l="0" t="0" r="0" b="0"/>
          <wp:wrapSquare wrapText="bothSides"/>
          <wp:docPr id="2" name="Gráfico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áfico 7"/>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1941195" cy="916305"/>
                  </a:xfrm>
                  <a:prstGeom prst="rect">
                    <a:avLst/>
                  </a:prstGeom>
                  <a:noFill/>
                </pic:spPr>
              </pic:pic>
            </a:graphicData>
          </a:graphic>
        </wp:anchor>
      </w:drawing>
    </w:r>
  </w:p>
  <w:p>
    <w:pPr>
      <w:pStyle w:val="Header"/>
      <w:jc w:val="right"/>
      <w:rPr>
        <w:rFonts w:ascii="Arial" w:hAnsi="Arial" w:cs="Arial"/>
        <w:sz w:val="20"/>
        <w:szCs w:val="20"/>
      </w:rPr>
    </w:pPr>
    <w:r>
      <w:rPr>
        <w:rFonts w:cs="Arial" w:ascii="Arial" w:hAnsi="Arial"/>
        <w:sz w:val="20"/>
        <w:szCs w:val="20"/>
      </w:rPr>
    </w:r>
  </w:p>
  <w:p>
    <w:pPr>
      <w:pStyle w:val="Header"/>
      <w:jc w:val="right"/>
      <w:rPr>
        <w:rFonts w:ascii="Arial" w:hAnsi="Arial" w:cs="Arial"/>
        <w:sz w:val="20"/>
        <w:szCs w:val="20"/>
      </w:rPr>
    </w:pPr>
    <w:r>
      <w:rPr>
        <w:rFonts w:cs="Arial" w:ascii="Arial" w:hAnsi="Arial"/>
        <w:sz w:val="20"/>
        <w:szCs w:val="20"/>
      </w:rPr>
    </w:r>
  </w:p>
  <w:p>
    <w:pPr>
      <w:pStyle w:val="Header"/>
      <w:jc w:val="right"/>
      <w:rPr>
        <w:rFonts w:ascii="Cambria" w:hAnsi="Cambria" w:cs="Cambria"/>
        <w:sz w:val="18"/>
        <w:szCs w:val="18"/>
      </w:rPr>
    </w:pPr>
    <w:r>
      <w:rPr>
        <w:rFonts w:cs="Cambria" w:ascii="Cambria" w:hAnsi="Cambria"/>
        <w:sz w:val="18"/>
        <w:szCs w:val="18"/>
      </w:rPr>
    </w:r>
  </w:p>
  <w:p>
    <w:pPr>
      <w:pStyle w:val="Header"/>
      <w:jc w:val="right"/>
      <w:rPr>
        <w:rFonts w:ascii="Cambria" w:hAnsi="Cambria" w:cs="Cambria"/>
        <w:sz w:val="18"/>
        <w:szCs w:val="18"/>
      </w:rPr>
    </w:pPr>
    <w:r>
      <w:rPr>
        <w:rFonts w:cs="Cambria" w:ascii="Cambria" w:hAnsi="Cambria"/>
        <w:sz w:val="18"/>
        <w:szCs w:val="18"/>
      </w:rPr>
    </w:r>
  </w:p>
  <w:p>
    <w:pPr>
      <w:pStyle w:val="Header"/>
      <w:jc w:val="right"/>
      <w:rPr>
        <w:rFonts w:ascii="Cambria" w:hAnsi="Cambria" w:cs="Cambria"/>
        <w:sz w:val="18"/>
        <w:szCs w:val="18"/>
      </w:rPr>
    </w:pPr>
    <w:r>
      <w:rPr>
        <w:rFonts w:cs="Cambria" w:ascii="Cambria" w:hAnsi="Cambria"/>
        <w:sz w:val="18"/>
        <w:szCs w:val="18"/>
      </w:rPr>
      <w:t>PREGÃO ELETRÔNICO Nº 45/2026</w:t>
    </w:r>
  </w:p>
  <w:p>
    <w:pPr>
      <w:pStyle w:val="Header"/>
      <w:jc w:val="right"/>
      <w:rPr>
        <w:rFonts w:ascii="Cambria" w:hAnsi="Cambria" w:cs="Cambria"/>
        <w:sz w:val="18"/>
        <w:szCs w:val="18"/>
      </w:rPr>
    </w:pPr>
    <w:r>
      <w:rPr>
        <w:rFonts w:cs="Cambria" w:ascii="Cambria" w:hAnsi="Cambria"/>
        <w:sz w:val="18"/>
        <w:szCs w:val="18"/>
      </w:rPr>
      <w:t>PROCESSO LICITATÓRIO 141/2026</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anchor distT="0" distB="0" distL="114300" distR="114300" simplePos="0" relativeHeight="2" behindDoc="1" locked="0" layoutInCell="0" allowOverlap="1">
          <wp:simplePos x="0" y="0"/>
          <wp:positionH relativeFrom="margin">
            <wp:posOffset>2124075</wp:posOffset>
          </wp:positionH>
          <wp:positionV relativeFrom="margin">
            <wp:posOffset>-838200</wp:posOffset>
          </wp:positionV>
          <wp:extent cx="2348230" cy="1108710"/>
          <wp:effectExtent l="0" t="0" r="0" b="0"/>
          <wp:wrapSquare wrapText="bothSides"/>
          <wp:docPr id="3"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áfico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2348230" cy="1108710"/>
                  </a:xfrm>
                  <a:prstGeom prst="rect">
                    <a:avLst/>
                  </a:prstGeom>
                  <a:noFill/>
                </pic:spPr>
              </pic:pic>
            </a:graphicData>
          </a:graphic>
        </wp:anchor>
      </w:drawing>
    </w:r>
  </w:p>
  <w:p>
    <w:pPr>
      <w:pStyle w:val="Normal"/>
      <w:rPr/>
    </w:pPr>
    <w:r>
      <w:rPr/>
      <w:drawing>
        <wp:anchor distT="0" distB="0" distL="0" distR="114300" simplePos="0" relativeHeight="71" behindDoc="0" locked="0" layoutInCell="0" allowOverlap="1">
          <wp:simplePos x="0" y="0"/>
          <wp:positionH relativeFrom="column">
            <wp:posOffset>369570</wp:posOffset>
          </wp:positionH>
          <wp:positionV relativeFrom="paragraph">
            <wp:posOffset>9498330</wp:posOffset>
          </wp:positionV>
          <wp:extent cx="5400040" cy="1027430"/>
          <wp:effectExtent l="0" t="0" r="0" b="0"/>
          <wp:wrapTight wrapText="bothSides">
            <wp:wrapPolygon edited="0">
              <wp:start x="-1" y="0"/>
              <wp:lineTo x="-1" y="21228"/>
              <wp:lineTo x="21475" y="21228"/>
              <wp:lineTo x="21475" y="0"/>
              <wp:lineTo x="-1" y="0"/>
            </wp:wrapPolygon>
          </wp:wrapTight>
          <wp:docPr id="4" name="Figura4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4 Copia 1"/>
                  <pic:cNvPicPr>
                    <a:picLocks noChangeAspect="1" noChangeArrowheads="1"/>
                  </pic:cNvPicPr>
                </pic:nvPicPr>
                <pic:blipFill>
                  <a:blip r:embed="rId3"/>
                  <a:stretch>
                    <a:fillRect/>
                  </a:stretch>
                </pic:blipFill>
                <pic:spPr bwMode="auto">
                  <a:xfrm>
                    <a:off x="0" y="0"/>
                    <a:ext cx="5400040" cy="1027430"/>
                  </a:xfrm>
                  <a:prstGeom prst="rect">
                    <a:avLst/>
                  </a:prstGeom>
                  <a:noFill/>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isLgl/>
      <w:lvlText w:val=""/>
      <w:lvlJc w:val="left"/>
      <w:pPr>
        <w:tabs>
          <w:tab w:val="num" w:pos="1492"/>
        </w:tabs>
        <w:ind w:left="1492" w:hanging="360"/>
      </w:pPr>
      <w:rPr>
        <w:rFonts w:ascii="Symbol" w:hAnsi="Symbol" w:cs="Symbol" w:hint="default"/>
      </w:rPr>
    </w:lvl>
    <w:lvl w:ilvl="1">
      <w:start w:val="1"/>
      <w:numFmt w:val="bullet"/>
      <w:isLgl/>
      <w:lvlText w:val="o"/>
      <w:lvlJc w:val="left"/>
      <w:pPr>
        <w:tabs>
          <w:tab w:val="num" w:pos="0"/>
        </w:tabs>
        <w:ind w:left="1440" w:hanging="360"/>
      </w:pPr>
      <w:rPr>
        <w:rFonts w:ascii="Courier New" w:hAnsi="Courier New" w:cs="Courier New" w:hint="default"/>
      </w:rPr>
    </w:lvl>
    <w:lvl w:ilvl="2">
      <w:start w:val="1"/>
      <w:numFmt w:val="bullet"/>
      <w:isLgl/>
      <w:lvlText w:val="§"/>
      <w:lvlJc w:val="left"/>
      <w:pPr>
        <w:tabs>
          <w:tab w:val="num" w:pos="0"/>
        </w:tabs>
        <w:ind w:left="2160" w:hanging="360"/>
      </w:pPr>
      <w:rPr>
        <w:rFonts w:ascii="Wingdings" w:hAnsi="Wingdings" w:cs="Wingdings" w:hint="default"/>
      </w:rPr>
    </w:lvl>
    <w:lvl w:ilvl="3">
      <w:start w:val="1"/>
      <w:numFmt w:val="bullet"/>
      <w:isLgl/>
      <w:lvlText w:val="·"/>
      <w:lvlJc w:val="left"/>
      <w:pPr>
        <w:tabs>
          <w:tab w:val="num" w:pos="0"/>
        </w:tabs>
        <w:ind w:left="2880" w:hanging="360"/>
      </w:pPr>
      <w:rPr>
        <w:rFonts w:ascii="Symbol" w:hAnsi="Symbol" w:cs="Symbol" w:hint="default"/>
      </w:rPr>
    </w:lvl>
    <w:lvl w:ilvl="4">
      <w:start w:val="1"/>
      <w:numFmt w:val="bullet"/>
      <w:isLgl/>
      <w:lvlText w:val="o"/>
      <w:lvlJc w:val="left"/>
      <w:pPr>
        <w:tabs>
          <w:tab w:val="num" w:pos="0"/>
        </w:tabs>
        <w:ind w:left="3600" w:hanging="360"/>
      </w:pPr>
      <w:rPr>
        <w:rFonts w:ascii="Courier New" w:hAnsi="Courier New" w:cs="Courier New" w:hint="default"/>
      </w:rPr>
    </w:lvl>
    <w:lvl w:ilvl="5">
      <w:start w:val="1"/>
      <w:numFmt w:val="bullet"/>
      <w:isLgl/>
      <w:lvlText w:val="§"/>
      <w:lvlJc w:val="left"/>
      <w:pPr>
        <w:tabs>
          <w:tab w:val="num" w:pos="0"/>
        </w:tabs>
        <w:ind w:left="4320" w:hanging="360"/>
      </w:pPr>
      <w:rPr>
        <w:rFonts w:ascii="Wingdings" w:hAnsi="Wingdings" w:cs="Wingdings" w:hint="default"/>
      </w:rPr>
    </w:lvl>
    <w:lvl w:ilvl="6">
      <w:start w:val="1"/>
      <w:numFmt w:val="bullet"/>
      <w:isLgl/>
      <w:lvlText w:val="·"/>
      <w:lvlJc w:val="left"/>
      <w:pPr>
        <w:tabs>
          <w:tab w:val="num" w:pos="0"/>
        </w:tabs>
        <w:ind w:left="5040" w:hanging="360"/>
      </w:pPr>
      <w:rPr>
        <w:rFonts w:ascii="Symbol" w:hAnsi="Symbol" w:cs="Symbol" w:hint="default"/>
      </w:rPr>
    </w:lvl>
    <w:lvl w:ilvl="7">
      <w:start w:val="1"/>
      <w:numFmt w:val="bullet"/>
      <w:isLgl/>
      <w:lvlText w:val="o"/>
      <w:lvlJc w:val="left"/>
      <w:pPr>
        <w:tabs>
          <w:tab w:val="num" w:pos="0"/>
        </w:tabs>
        <w:ind w:left="5760" w:hanging="360"/>
      </w:pPr>
      <w:rPr>
        <w:rFonts w:ascii="Courier New" w:hAnsi="Courier New" w:cs="Courier New" w:hint="default"/>
      </w:rPr>
    </w:lvl>
    <w:lvl w:ilvl="8">
      <w:start w:val="1"/>
      <w:numFmt w:val="bullet"/>
      <w:isLgl/>
      <w:lvlText w:val="§"/>
      <w:lvlJc w:val="left"/>
      <w:pPr>
        <w:tabs>
          <w:tab w:val="num" w:pos="0"/>
        </w:tabs>
        <w:ind w:left="6480" w:hanging="360"/>
      </w:pPr>
      <w:rPr>
        <w:rFonts w:ascii="Wingdings" w:hAnsi="Wingdings" w:cs="Wingdings" w:hint="default"/>
      </w:rPr>
    </w:lvl>
  </w:abstractNum>
  <w:abstractNum w:abstractNumId="2">
    <w:lvl w:ilvl="0">
      <w:start w:val="1"/>
      <w:numFmt w:val="decimal"/>
      <w:isLgl/>
      <w:lvlText w:val="%1."/>
      <w:lvlJc w:val="left"/>
      <w:pPr>
        <w:tabs>
          <w:tab w:val="num" w:pos="0"/>
        </w:tabs>
        <w:ind w:left="7731" w:hanging="360"/>
      </w:pPr>
      <w:rPr>
        <w:b/>
        <w:color w:val="000000"/>
      </w:rPr>
    </w:lvl>
    <w:lvl w:ilvl="1">
      <w:start w:val="1"/>
      <w:numFmt w:val="decimal"/>
      <w:isLgl/>
      <w:lvlText w:val="%1.%2."/>
      <w:lvlJc w:val="left"/>
      <w:pPr>
        <w:tabs>
          <w:tab w:val="num" w:pos="0"/>
        </w:tabs>
        <w:ind w:left="999" w:hanging="432"/>
      </w:pPr>
      <w:rPr>
        <w:rFonts w:ascii="Cambria" w:hAnsi="Cambria" w:eastAsia="Cambria" w:cs="Cambria"/>
        <w:b w:val="false"/>
        <w:i w:val="false"/>
        <w:strike w:val="false"/>
        <w:dstrike w:val="false"/>
        <w:color w:val="auto"/>
        <w:sz w:val="18"/>
        <w:szCs w:val="20"/>
        <w:u w:val="none"/>
      </w:rPr>
    </w:lvl>
    <w:lvl w:ilvl="2">
      <w:start w:val="1"/>
      <w:numFmt w:val="decimal"/>
      <w:isLgl/>
      <w:lvlText w:val="%1.%2.%3."/>
      <w:lvlJc w:val="left"/>
      <w:pPr>
        <w:tabs>
          <w:tab w:val="num" w:pos="0"/>
        </w:tabs>
        <w:ind w:left="1638" w:hanging="504"/>
      </w:pPr>
      <w:rPr>
        <w:rFonts w:ascii="Cambria" w:hAnsi="Cambria" w:eastAsia="Cambria" w:cs="Cambria"/>
        <w:b w:val="false"/>
        <w:i w:val="false"/>
        <w:strike w:val="false"/>
        <w:dstrike w:val="false"/>
        <w:color w:val="auto"/>
        <w:sz w:val="18"/>
        <w:szCs w:val="20"/>
      </w:rPr>
    </w:lvl>
    <w:lvl w:ilvl="3">
      <w:start w:val="1"/>
      <w:numFmt w:val="decimal"/>
      <w:isLgl/>
      <w:lvlText w:val="%1.%2.%3.%4."/>
      <w:lvlJc w:val="left"/>
      <w:pPr>
        <w:tabs>
          <w:tab w:val="num" w:pos="0"/>
        </w:tabs>
        <w:ind w:left="648" w:hanging="648"/>
      </w:pPr>
      <w:rPr>
        <w:rFonts w:ascii="Cambria" w:hAnsi="Cambria" w:eastAsia="Cambria" w:cs="Cambria"/>
        <w:b w:val="false"/>
        <w:sz w:val="18"/>
      </w:rPr>
    </w:lvl>
    <w:lvl w:ilvl="4">
      <w:start w:val="1"/>
      <w:numFmt w:val="decimal"/>
      <w:isLgl/>
      <w:lvlText w:val="%1.%2.%3.%4.%5."/>
      <w:lvlJc w:val="left"/>
      <w:pPr>
        <w:tabs>
          <w:tab w:val="num" w:pos="0"/>
        </w:tabs>
        <w:ind w:left="2232" w:hanging="792"/>
      </w:pPr>
      <w:rPr/>
    </w:lvl>
    <w:lvl w:ilvl="5">
      <w:start w:val="1"/>
      <w:numFmt w:val="decimal"/>
      <w:isLgl/>
      <w:lvlText w:val="%1.%2.%3.%4.%5.%6."/>
      <w:lvlJc w:val="left"/>
      <w:pPr>
        <w:tabs>
          <w:tab w:val="num" w:pos="0"/>
        </w:tabs>
        <w:ind w:left="2736" w:hanging="936"/>
      </w:pPr>
      <w:rPr/>
    </w:lvl>
    <w:lvl w:ilvl="6">
      <w:start w:val="1"/>
      <w:numFmt w:val="decimal"/>
      <w:isLgl/>
      <w:lvlText w:val="%1.%2.%3.%4.%5.%6.%7."/>
      <w:lvlJc w:val="left"/>
      <w:pPr>
        <w:tabs>
          <w:tab w:val="num" w:pos="0"/>
        </w:tabs>
        <w:ind w:left="3240" w:hanging="1080"/>
      </w:pPr>
      <w:rPr/>
    </w:lvl>
    <w:lvl w:ilvl="7">
      <w:start w:val="1"/>
      <w:numFmt w:val="decimal"/>
      <w:isLgl/>
      <w:lvlText w:val="%1.%2.%3.%4.%5.%6.%7.%8."/>
      <w:lvlJc w:val="left"/>
      <w:pPr>
        <w:tabs>
          <w:tab w:val="num" w:pos="0"/>
        </w:tabs>
        <w:ind w:left="3744" w:hanging="1224"/>
      </w:pPr>
      <w:rPr/>
    </w:lvl>
    <w:lvl w:ilvl="8">
      <w:start w:val="1"/>
      <w:numFmt w:val="decimal"/>
      <w:isLgl/>
      <w:lvlText w:val="%1.%2.%3.%4.%5.%6.%7.%8.%9."/>
      <w:lvlJc w:val="left"/>
      <w:pPr>
        <w:tabs>
          <w:tab w:val="num" w:pos="0"/>
        </w:tabs>
        <w:ind w:left="4320" w:hanging="1440"/>
      </w:pPr>
      <w:rPr/>
    </w:lvl>
  </w:abstractNum>
  <w:abstractNum w:abstractNumId="3">
    <w:lvl w:ilvl="0">
      <w:start w:val="1"/>
      <w:numFmt w:val="decimal"/>
      <w:isLgl/>
      <w:lvlText w:val="%1."/>
      <w:lvlJc w:val="left"/>
      <w:pPr>
        <w:tabs>
          <w:tab w:val="num" w:pos="0"/>
        </w:tabs>
        <w:ind w:left="360" w:hanging="360"/>
      </w:pPr>
      <w:rPr>
        <w:b/>
        <w:color w:val="auto"/>
      </w:rPr>
    </w:lvl>
    <w:lvl w:ilvl="1">
      <w:start w:val="1"/>
      <w:numFmt w:val="decimal"/>
      <w:isLgl/>
      <w:lvlText w:val="%1.%2."/>
      <w:lvlJc w:val="left"/>
      <w:pPr>
        <w:tabs>
          <w:tab w:val="num" w:pos="0"/>
        </w:tabs>
        <w:ind w:left="1283" w:hanging="432"/>
      </w:pPr>
      <w:rPr>
        <w:sz w:val="20"/>
        <w:szCs w:val="20"/>
      </w:rPr>
    </w:lvl>
    <w:lvl w:ilvl="2">
      <w:start w:val="1"/>
      <w:numFmt w:val="decimal"/>
      <w:isLgl/>
      <w:lvlText w:val="%1.%2.%3."/>
      <w:lvlJc w:val="left"/>
      <w:pPr>
        <w:tabs>
          <w:tab w:val="num" w:pos="0"/>
        </w:tabs>
        <w:ind w:left="1497" w:hanging="504"/>
      </w:pPr>
      <w:rPr/>
    </w:lvl>
    <w:lvl w:ilvl="3">
      <w:start w:val="1"/>
      <w:numFmt w:val="decimal"/>
      <w:isLgl/>
      <w:lvlText w:val="%1.%2.%3.%4."/>
      <w:lvlJc w:val="left"/>
      <w:pPr>
        <w:tabs>
          <w:tab w:val="num" w:pos="0"/>
        </w:tabs>
        <w:ind w:left="1728" w:hanging="648"/>
      </w:pPr>
      <w:rPr/>
    </w:lvl>
    <w:lvl w:ilvl="4">
      <w:start w:val="1"/>
      <w:numFmt w:val="decimal"/>
      <w:isLgl/>
      <w:lvlText w:val="%1.%2.%3.%4.%5."/>
      <w:lvlJc w:val="left"/>
      <w:pPr>
        <w:tabs>
          <w:tab w:val="num" w:pos="0"/>
        </w:tabs>
        <w:ind w:left="2232" w:hanging="792"/>
      </w:pPr>
      <w:rPr/>
    </w:lvl>
    <w:lvl w:ilvl="5">
      <w:start w:val="1"/>
      <w:numFmt w:val="decimal"/>
      <w:isLgl/>
      <w:lvlText w:val="%1.%2.%3.%4.%5.%6."/>
      <w:lvlJc w:val="left"/>
      <w:pPr>
        <w:tabs>
          <w:tab w:val="num" w:pos="0"/>
        </w:tabs>
        <w:ind w:left="2736" w:hanging="936"/>
      </w:pPr>
      <w:rPr/>
    </w:lvl>
    <w:lvl w:ilvl="6">
      <w:start w:val="1"/>
      <w:numFmt w:val="decimal"/>
      <w:isLgl/>
      <w:lvlText w:val="%1.%2.%3.%4.%5.%6.%7."/>
      <w:lvlJc w:val="left"/>
      <w:pPr>
        <w:tabs>
          <w:tab w:val="num" w:pos="0"/>
        </w:tabs>
        <w:ind w:left="3240" w:hanging="1080"/>
      </w:pPr>
      <w:rPr/>
    </w:lvl>
    <w:lvl w:ilvl="7">
      <w:start w:val="1"/>
      <w:numFmt w:val="decimal"/>
      <w:isLgl/>
      <w:lvlText w:val="%1.%2.%3.%4.%5.%6.%7.%8."/>
      <w:lvlJc w:val="left"/>
      <w:pPr>
        <w:tabs>
          <w:tab w:val="num" w:pos="0"/>
        </w:tabs>
        <w:ind w:left="3744" w:hanging="1224"/>
      </w:pPr>
      <w:rPr/>
    </w:lvl>
    <w:lvl w:ilvl="8">
      <w:start w:val="1"/>
      <w:numFmt w:val="decimal"/>
      <w:isLgl/>
      <w:lvlText w:val="%1.%2.%3.%4.%5.%6.%7.%8.%9."/>
      <w:lvlJc w:val="left"/>
      <w:pPr>
        <w:tabs>
          <w:tab w:val="num" w:pos="0"/>
        </w:tabs>
        <w:ind w:left="4320" w:hanging="1440"/>
      </w:pPr>
      <w:rPr/>
    </w:lvl>
  </w:abstractNum>
  <w:abstractNum w:abstractNumId="4">
    <w:lvl w:ilvl="0">
      <w:start w:val="1"/>
      <w:numFmt w:val="lowerLetter"/>
      <w:isLgl/>
      <w:lvlText w:val="%1)"/>
      <w:lvlJc w:val="left"/>
      <w:pPr>
        <w:tabs>
          <w:tab w:val="num" w:pos="0"/>
        </w:tabs>
        <w:ind w:left="720" w:hanging="360"/>
      </w:pPr>
      <w:rPr/>
    </w:lvl>
    <w:lvl w:ilvl="1">
      <w:start w:val="1"/>
      <w:numFmt w:val="lowerLetter"/>
      <w:isLgl/>
      <w:lvlText w:val="%2."/>
      <w:lvlJc w:val="left"/>
      <w:pPr>
        <w:tabs>
          <w:tab w:val="num" w:pos="0"/>
        </w:tabs>
        <w:ind w:left="1440" w:hanging="360"/>
      </w:pPr>
      <w:rPr/>
    </w:lvl>
    <w:lvl w:ilvl="2">
      <w:start w:val="1"/>
      <w:numFmt w:val="lowerRoman"/>
      <w:isLgl/>
      <w:lvlText w:val="%3."/>
      <w:lvlJc w:val="right"/>
      <w:pPr>
        <w:tabs>
          <w:tab w:val="num" w:pos="0"/>
        </w:tabs>
        <w:ind w:left="2160" w:hanging="180"/>
      </w:pPr>
      <w:rPr/>
    </w:lvl>
    <w:lvl w:ilvl="3">
      <w:start w:val="1"/>
      <w:numFmt w:val="decimal"/>
      <w:isLgl/>
      <w:lvlText w:val="%4."/>
      <w:lvlJc w:val="left"/>
      <w:pPr>
        <w:tabs>
          <w:tab w:val="num" w:pos="0"/>
        </w:tabs>
        <w:ind w:left="2880" w:hanging="360"/>
      </w:pPr>
      <w:rPr/>
    </w:lvl>
    <w:lvl w:ilvl="4">
      <w:start w:val="1"/>
      <w:numFmt w:val="lowerLetter"/>
      <w:isLgl/>
      <w:lvlText w:val="%5."/>
      <w:lvlJc w:val="left"/>
      <w:pPr>
        <w:tabs>
          <w:tab w:val="num" w:pos="0"/>
        </w:tabs>
        <w:ind w:left="3600" w:hanging="360"/>
      </w:pPr>
      <w:rPr/>
    </w:lvl>
    <w:lvl w:ilvl="5">
      <w:start w:val="1"/>
      <w:numFmt w:val="lowerRoman"/>
      <w:isLgl/>
      <w:lvlText w:val="%6."/>
      <w:lvlJc w:val="right"/>
      <w:pPr>
        <w:tabs>
          <w:tab w:val="num" w:pos="0"/>
        </w:tabs>
        <w:ind w:left="4320" w:hanging="180"/>
      </w:pPr>
      <w:rPr/>
    </w:lvl>
    <w:lvl w:ilvl="6">
      <w:start w:val="1"/>
      <w:numFmt w:val="decimal"/>
      <w:isLgl/>
      <w:lvlText w:val="%7."/>
      <w:lvlJc w:val="left"/>
      <w:pPr>
        <w:tabs>
          <w:tab w:val="num" w:pos="0"/>
        </w:tabs>
        <w:ind w:left="5040" w:hanging="360"/>
      </w:pPr>
      <w:rPr/>
    </w:lvl>
    <w:lvl w:ilvl="7">
      <w:start w:val="1"/>
      <w:numFmt w:val="lowerLetter"/>
      <w:isLgl/>
      <w:lvlText w:val="%8."/>
      <w:lvlJc w:val="left"/>
      <w:pPr>
        <w:tabs>
          <w:tab w:val="num" w:pos="0"/>
        </w:tabs>
        <w:ind w:left="5760" w:hanging="360"/>
      </w:pPr>
      <w:rPr/>
    </w:lvl>
    <w:lvl w:ilvl="8">
      <w:start w:val="1"/>
      <w:numFmt w:val="lowerRoman"/>
      <w:isLgl/>
      <w:lvlText w:val="%9."/>
      <w:lvlJc w:val="right"/>
      <w:pPr>
        <w:tabs>
          <w:tab w:val="num" w:pos="0"/>
        </w:tabs>
        <w:ind w:left="6480" w:hanging="180"/>
      </w:pPr>
      <w:rPr/>
    </w:lvl>
  </w:abstractNum>
  <w:abstractNum w:abstractNumId="5">
    <w:lvl w:ilvl="0">
      <w:start w:val="1"/>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720" w:hanging="72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080" w:hanging="108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440" w:hanging="1440"/>
      </w:pPr>
      <w:rPr/>
    </w:lvl>
  </w:abstractNum>
  <w:abstractNum w:abstractNumId="6">
    <w:lvl w:ilvl="0">
      <w:start w:val="1"/>
      <w:numFmt w:val="lowerLetter"/>
      <w:isLgl/>
      <w:lvlText w:val="%1)"/>
      <w:lvlJc w:val="left"/>
      <w:pPr>
        <w:tabs>
          <w:tab w:val="num" w:pos="0"/>
        </w:tabs>
        <w:ind w:left="720" w:hanging="360"/>
      </w:pPr>
      <w:rPr/>
    </w:lvl>
    <w:lvl w:ilvl="1">
      <w:start w:val="1"/>
      <w:numFmt w:val="lowerLetter"/>
      <w:isLgl/>
      <w:lvlText w:val="%2."/>
      <w:lvlJc w:val="left"/>
      <w:pPr>
        <w:tabs>
          <w:tab w:val="num" w:pos="0"/>
        </w:tabs>
        <w:ind w:left="1440" w:hanging="360"/>
      </w:pPr>
      <w:rPr/>
    </w:lvl>
    <w:lvl w:ilvl="2">
      <w:start w:val="1"/>
      <w:numFmt w:val="lowerRoman"/>
      <w:isLgl/>
      <w:lvlText w:val="%3."/>
      <w:lvlJc w:val="right"/>
      <w:pPr>
        <w:tabs>
          <w:tab w:val="num" w:pos="0"/>
        </w:tabs>
        <w:ind w:left="2160" w:hanging="180"/>
      </w:pPr>
      <w:rPr/>
    </w:lvl>
    <w:lvl w:ilvl="3">
      <w:start w:val="1"/>
      <w:numFmt w:val="decimal"/>
      <w:isLgl/>
      <w:lvlText w:val="%4."/>
      <w:lvlJc w:val="left"/>
      <w:pPr>
        <w:tabs>
          <w:tab w:val="num" w:pos="0"/>
        </w:tabs>
        <w:ind w:left="2880" w:hanging="360"/>
      </w:pPr>
      <w:rPr/>
    </w:lvl>
    <w:lvl w:ilvl="4">
      <w:start w:val="1"/>
      <w:numFmt w:val="lowerLetter"/>
      <w:isLgl/>
      <w:lvlText w:val="%5."/>
      <w:lvlJc w:val="left"/>
      <w:pPr>
        <w:tabs>
          <w:tab w:val="num" w:pos="0"/>
        </w:tabs>
        <w:ind w:left="3600" w:hanging="360"/>
      </w:pPr>
      <w:rPr/>
    </w:lvl>
    <w:lvl w:ilvl="5">
      <w:start w:val="1"/>
      <w:numFmt w:val="lowerRoman"/>
      <w:isLgl/>
      <w:lvlText w:val="%6."/>
      <w:lvlJc w:val="right"/>
      <w:pPr>
        <w:tabs>
          <w:tab w:val="num" w:pos="0"/>
        </w:tabs>
        <w:ind w:left="4320" w:hanging="180"/>
      </w:pPr>
      <w:rPr/>
    </w:lvl>
    <w:lvl w:ilvl="6">
      <w:start w:val="1"/>
      <w:numFmt w:val="decimal"/>
      <w:isLgl/>
      <w:lvlText w:val="%7."/>
      <w:lvlJc w:val="left"/>
      <w:pPr>
        <w:tabs>
          <w:tab w:val="num" w:pos="0"/>
        </w:tabs>
        <w:ind w:left="5040" w:hanging="360"/>
      </w:pPr>
      <w:rPr/>
    </w:lvl>
    <w:lvl w:ilvl="7">
      <w:start w:val="1"/>
      <w:numFmt w:val="lowerLetter"/>
      <w:isLgl/>
      <w:lvlText w:val="%8."/>
      <w:lvlJc w:val="left"/>
      <w:pPr>
        <w:tabs>
          <w:tab w:val="num" w:pos="0"/>
        </w:tabs>
        <w:ind w:left="5760" w:hanging="360"/>
      </w:pPr>
      <w:rPr/>
    </w:lvl>
    <w:lvl w:ilvl="8">
      <w:start w:val="1"/>
      <w:numFmt w:val="lowerRoman"/>
      <w:isLgl/>
      <w:lvlText w:val="%9."/>
      <w:lvlJc w:val="right"/>
      <w:pPr>
        <w:tabs>
          <w:tab w:val="num" w:pos="0"/>
        </w:tabs>
        <w:ind w:left="6480" w:hanging="180"/>
      </w:pPr>
      <w:rPr/>
    </w:lvl>
  </w:abstractNum>
  <w:abstractNum w:abstractNumId="7">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8">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9">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10">
    <w:lvl w:ilvl="0">
      <w:start w:val="12"/>
      <w:numFmt w:val="decimal"/>
      <w:lvlText w:val="%1"/>
      <w:lvlJc w:val="left"/>
      <w:pPr>
        <w:tabs>
          <w:tab w:val="num" w:pos="0"/>
        </w:tabs>
        <w:ind w:left="360" w:hanging="360"/>
      </w:pPr>
      <w:rPr>
        <w:i/>
      </w:rPr>
    </w:lvl>
    <w:lvl w:ilvl="1">
      <w:start w:val="1"/>
      <w:numFmt w:val="decimal"/>
      <w:lvlText w:val="%1.%2"/>
      <w:lvlJc w:val="left"/>
      <w:pPr>
        <w:tabs>
          <w:tab w:val="num" w:pos="0"/>
        </w:tabs>
        <w:ind w:left="720" w:hanging="360"/>
      </w:pPr>
      <w:rPr>
        <w:i/>
      </w:rPr>
    </w:lvl>
    <w:lvl w:ilvl="2">
      <w:start w:val="1"/>
      <w:numFmt w:val="decimal"/>
      <w:lvlText w:val="%1.%2.%3"/>
      <w:lvlJc w:val="left"/>
      <w:pPr>
        <w:tabs>
          <w:tab w:val="num" w:pos="0"/>
        </w:tabs>
        <w:ind w:left="1080" w:hanging="360"/>
      </w:pPr>
      <w:rPr>
        <w:i/>
      </w:rPr>
    </w:lvl>
    <w:lvl w:ilvl="3">
      <w:start w:val="1"/>
      <w:numFmt w:val="decimal"/>
      <w:lvlText w:val="%1.%2.%3.%4"/>
      <w:lvlJc w:val="left"/>
      <w:pPr>
        <w:tabs>
          <w:tab w:val="num" w:pos="0"/>
        </w:tabs>
        <w:ind w:left="1800" w:hanging="720"/>
      </w:pPr>
      <w:rPr>
        <w:i/>
      </w:rPr>
    </w:lvl>
    <w:lvl w:ilvl="4">
      <w:start w:val="1"/>
      <w:numFmt w:val="decimal"/>
      <w:lvlText w:val="%1.%2.%3.%4.%5"/>
      <w:lvlJc w:val="left"/>
      <w:pPr>
        <w:tabs>
          <w:tab w:val="num" w:pos="0"/>
        </w:tabs>
        <w:ind w:left="2160" w:hanging="720"/>
      </w:pPr>
      <w:rPr>
        <w:i/>
      </w:rPr>
    </w:lvl>
    <w:lvl w:ilvl="5">
      <w:start w:val="1"/>
      <w:numFmt w:val="decimal"/>
      <w:lvlText w:val="%1.%2.%3.%4.%5.%6"/>
      <w:lvlJc w:val="left"/>
      <w:pPr>
        <w:tabs>
          <w:tab w:val="num" w:pos="0"/>
        </w:tabs>
        <w:ind w:left="2880" w:hanging="1080"/>
      </w:pPr>
      <w:rPr>
        <w:i/>
      </w:rPr>
    </w:lvl>
    <w:lvl w:ilvl="6">
      <w:start w:val="1"/>
      <w:numFmt w:val="decimal"/>
      <w:lvlText w:val="%1.%2.%3.%4.%5.%6.%7"/>
      <w:lvlJc w:val="left"/>
      <w:pPr>
        <w:tabs>
          <w:tab w:val="num" w:pos="0"/>
        </w:tabs>
        <w:ind w:left="3240" w:hanging="1080"/>
      </w:pPr>
      <w:rPr>
        <w:i/>
      </w:rPr>
    </w:lvl>
    <w:lvl w:ilvl="7">
      <w:start w:val="1"/>
      <w:numFmt w:val="decimal"/>
      <w:lvlText w:val="%1.%2.%3.%4.%5.%6.%7.%8"/>
      <w:lvlJc w:val="left"/>
      <w:pPr>
        <w:tabs>
          <w:tab w:val="num" w:pos="0"/>
        </w:tabs>
        <w:ind w:left="3600" w:hanging="1080"/>
      </w:pPr>
      <w:rPr>
        <w:i/>
      </w:rPr>
    </w:lvl>
    <w:lvl w:ilvl="8">
      <w:start w:val="1"/>
      <w:numFmt w:val="decimal"/>
      <w:lvlText w:val="%1.%2.%3.%4.%5.%6.%7.%8.%9"/>
      <w:lvlJc w:val="left"/>
      <w:pPr>
        <w:tabs>
          <w:tab w:val="num" w:pos="0"/>
        </w:tabs>
        <w:ind w:left="4320" w:hanging="1440"/>
      </w:pPr>
      <w:rPr>
        <w:i/>
      </w:rPr>
    </w:lvl>
  </w:abstractNum>
  <w:abstractNum w:abstractNumId="11">
    <w:lvl w:ilvl="0">
      <w:start w:val="1"/>
      <w:numFmt w:val="upperRoman"/>
      <w:lvlText w:val="%1."/>
      <w:lvlJc w:val="righ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2">
    <w:lvl w:ilvl="0">
      <w:start w:val="14"/>
      <w:numFmt w:val="decimal"/>
      <w:lvlText w:val="%1"/>
      <w:lvlJc w:val="left"/>
      <w:pPr>
        <w:tabs>
          <w:tab w:val="num" w:pos="0"/>
        </w:tabs>
        <w:ind w:left="720" w:hanging="360"/>
      </w:pPr>
      <w:rPr>
        <w:i/>
      </w:rPr>
    </w:lvl>
    <w:lvl w:ilvl="1">
      <w:start w:val="1"/>
      <w:numFmt w:val="decimal"/>
      <w:isLgl/>
      <w:lvlText w:val="%1.%2"/>
      <w:lvlJc w:val="left"/>
      <w:pPr>
        <w:tabs>
          <w:tab w:val="num" w:pos="0"/>
        </w:tabs>
        <w:ind w:left="720" w:hanging="360"/>
      </w:pPr>
      <w:rPr/>
    </w:lvl>
    <w:lvl w:ilvl="2">
      <w:start w:val="1"/>
      <w:numFmt w:val="decimal"/>
      <w:isLgl/>
      <w:lvlText w:val="%1.%2.%3"/>
      <w:lvlJc w:val="left"/>
      <w:pPr>
        <w:tabs>
          <w:tab w:val="num" w:pos="0"/>
        </w:tabs>
        <w:ind w:left="720" w:hanging="360"/>
      </w:pPr>
      <w:rPr/>
    </w:lvl>
    <w:lvl w:ilvl="3">
      <w:start w:val="1"/>
      <w:numFmt w:val="decimal"/>
      <w:isLgl/>
      <w:lvlText w:val="%1.%2.%3.%4"/>
      <w:lvlJc w:val="left"/>
      <w:pPr>
        <w:tabs>
          <w:tab w:val="num" w:pos="0"/>
        </w:tabs>
        <w:ind w:left="1080" w:hanging="720"/>
      </w:pPr>
      <w:rPr/>
    </w:lvl>
    <w:lvl w:ilvl="4">
      <w:start w:val="1"/>
      <w:numFmt w:val="decimal"/>
      <w:isLgl/>
      <w:lvlText w:val="%1.%2.%3.%4.%5"/>
      <w:lvlJc w:val="left"/>
      <w:pPr>
        <w:tabs>
          <w:tab w:val="num" w:pos="0"/>
        </w:tabs>
        <w:ind w:left="1080" w:hanging="720"/>
      </w:pPr>
      <w:rPr/>
    </w:lvl>
    <w:lvl w:ilvl="5">
      <w:start w:val="1"/>
      <w:numFmt w:val="decimal"/>
      <w:isLgl/>
      <w:lvlText w:val="%1.%2.%3.%4.%5.%6"/>
      <w:lvlJc w:val="left"/>
      <w:pPr>
        <w:tabs>
          <w:tab w:val="num" w:pos="0"/>
        </w:tabs>
        <w:ind w:left="1440" w:hanging="1080"/>
      </w:pPr>
      <w:rPr/>
    </w:lvl>
    <w:lvl w:ilvl="6">
      <w:start w:val="1"/>
      <w:numFmt w:val="decimal"/>
      <w:isLgl/>
      <w:lvlText w:val="%1.%2.%3.%4.%5.%6.%7"/>
      <w:lvlJc w:val="left"/>
      <w:pPr>
        <w:tabs>
          <w:tab w:val="num" w:pos="0"/>
        </w:tabs>
        <w:ind w:left="1440" w:hanging="1080"/>
      </w:pPr>
      <w:rPr/>
    </w:lvl>
    <w:lvl w:ilvl="7">
      <w:start w:val="1"/>
      <w:numFmt w:val="decimal"/>
      <w:isLgl/>
      <w:lvlText w:val="%1.%2.%3.%4.%5.%6.%7.%8"/>
      <w:lvlJc w:val="left"/>
      <w:pPr>
        <w:tabs>
          <w:tab w:val="num" w:pos="0"/>
        </w:tabs>
        <w:ind w:left="1440" w:hanging="1080"/>
      </w:pPr>
      <w:rPr/>
    </w:lvl>
    <w:lvl w:ilvl="8">
      <w:start w:val="1"/>
      <w:numFmt w:val="decimal"/>
      <w:isLgl/>
      <w:lvlText w:val="%1.%2.%3.%4.%5.%6.%7.%8.%9"/>
      <w:lvlJc w:val="left"/>
      <w:pPr>
        <w:tabs>
          <w:tab w:val="num" w:pos="0"/>
        </w:tabs>
        <w:ind w:left="1800" w:hanging="1440"/>
      </w:pPr>
      <w:rPr/>
    </w:lvl>
  </w:abstractNum>
  <w:abstractNum w:abstractNumId="13">
    <w:lvl w:ilvl="0">
      <w:start w:val="1"/>
      <w:numFmt w:val="lowerLetter"/>
      <w:lvlText w:val="%1)"/>
      <w:lvlJc w:val="left"/>
      <w:pPr>
        <w:tabs>
          <w:tab w:val="num" w:pos="0"/>
        </w:tabs>
        <w:ind w:left="1440" w:hanging="360"/>
      </w:pPr>
      <w:rPr/>
    </w:lvl>
    <w:lvl w:ilvl="1">
      <w:start w:val="1"/>
      <w:numFmt w:val="lowerLetter"/>
      <w:lvlText w:val="%2."/>
      <w:lvlJc w:val="left"/>
      <w:pPr>
        <w:tabs>
          <w:tab w:val="num" w:pos="0"/>
        </w:tabs>
        <w:ind w:left="2160" w:hanging="360"/>
      </w:pPr>
      <w:rPr/>
    </w:lvl>
    <w:lvl w:ilvl="2">
      <w:start w:val="1"/>
      <w:numFmt w:val="lowerRoman"/>
      <w:lvlText w:val="%3."/>
      <w:lvlJc w:val="right"/>
      <w:pPr>
        <w:tabs>
          <w:tab w:val="num" w:pos="0"/>
        </w:tabs>
        <w:ind w:left="2880" w:hanging="180"/>
      </w:pPr>
      <w:rPr/>
    </w:lvl>
    <w:lvl w:ilvl="3">
      <w:start w:val="1"/>
      <w:numFmt w:val="decimal"/>
      <w:lvlText w:val="%4."/>
      <w:lvlJc w:val="left"/>
      <w:pPr>
        <w:tabs>
          <w:tab w:val="num" w:pos="0"/>
        </w:tabs>
        <w:ind w:left="3600" w:hanging="360"/>
      </w:pPr>
      <w:rPr/>
    </w:lvl>
    <w:lvl w:ilvl="4">
      <w:start w:val="1"/>
      <w:numFmt w:val="lowerLetter"/>
      <w:lvlText w:val="%5."/>
      <w:lvlJc w:val="left"/>
      <w:pPr>
        <w:tabs>
          <w:tab w:val="num" w:pos="0"/>
        </w:tabs>
        <w:ind w:left="4320" w:hanging="360"/>
      </w:pPr>
      <w:rPr/>
    </w:lvl>
    <w:lvl w:ilvl="5">
      <w:start w:val="1"/>
      <w:numFmt w:val="lowerRoman"/>
      <w:lvlText w:val="%6."/>
      <w:lvlJc w:val="right"/>
      <w:pPr>
        <w:tabs>
          <w:tab w:val="num" w:pos="0"/>
        </w:tabs>
        <w:ind w:left="5040" w:hanging="180"/>
      </w:pPr>
      <w:rPr/>
    </w:lvl>
    <w:lvl w:ilvl="6">
      <w:start w:val="1"/>
      <w:numFmt w:val="decimal"/>
      <w:lvlText w:val="%7."/>
      <w:lvlJc w:val="left"/>
      <w:pPr>
        <w:tabs>
          <w:tab w:val="num" w:pos="0"/>
        </w:tabs>
        <w:ind w:left="5760" w:hanging="360"/>
      </w:pPr>
      <w:rPr/>
    </w:lvl>
    <w:lvl w:ilvl="7">
      <w:start w:val="1"/>
      <w:numFmt w:val="lowerLetter"/>
      <w:lvlText w:val="%8."/>
      <w:lvlJc w:val="left"/>
      <w:pPr>
        <w:tabs>
          <w:tab w:val="num" w:pos="0"/>
        </w:tabs>
        <w:ind w:left="6480" w:hanging="360"/>
      </w:pPr>
      <w:rPr/>
    </w:lvl>
    <w:lvl w:ilvl="8">
      <w:start w:val="1"/>
      <w:numFmt w:val="lowerRoman"/>
      <w:lvlText w:val="%9."/>
      <w:lvlJc w:val="right"/>
      <w:pPr>
        <w:tabs>
          <w:tab w:val="num" w:pos="0"/>
        </w:tabs>
        <w:ind w:left="7200" w:hanging="180"/>
      </w:pPr>
      <w:rPr/>
    </w:lvl>
  </w:abstractNum>
  <w:abstractNum w:abstractNumId="14">
    <w:lvl w:ilvl="0">
      <w:start w:val="1"/>
      <w:numFmt w:val="decimal"/>
      <w:lvlText w:val="%1."/>
      <w:lvlJc w:val="left"/>
      <w:pPr>
        <w:tabs>
          <w:tab w:val="num" w:pos="0"/>
        </w:tabs>
        <w:ind w:left="1429" w:hanging="360"/>
      </w:pPr>
      <w:rPr/>
    </w:lvl>
    <w:lvl w:ilvl="1">
      <w:start w:val="2"/>
      <w:numFmt w:val="decimal"/>
      <w:isLgl/>
      <w:lvlText w:val="%1.%2"/>
      <w:lvlJc w:val="left"/>
      <w:pPr>
        <w:tabs>
          <w:tab w:val="num" w:pos="0"/>
        </w:tabs>
        <w:ind w:left="1429" w:hanging="360"/>
      </w:pPr>
      <w:rPr/>
    </w:lvl>
    <w:lvl w:ilvl="2">
      <w:start w:val="1"/>
      <w:numFmt w:val="decimal"/>
      <w:isLgl/>
      <w:lvlText w:val="%1.%2.%3"/>
      <w:lvlJc w:val="left"/>
      <w:pPr>
        <w:tabs>
          <w:tab w:val="num" w:pos="0"/>
        </w:tabs>
        <w:ind w:left="1789" w:hanging="720"/>
      </w:pPr>
      <w:rPr/>
    </w:lvl>
    <w:lvl w:ilvl="3">
      <w:start w:val="1"/>
      <w:numFmt w:val="decimal"/>
      <w:isLgl/>
      <w:lvlText w:val="%1.%2.%3.%4"/>
      <w:lvlJc w:val="left"/>
      <w:pPr>
        <w:tabs>
          <w:tab w:val="num" w:pos="0"/>
        </w:tabs>
        <w:ind w:left="1789" w:hanging="720"/>
      </w:pPr>
      <w:rPr/>
    </w:lvl>
    <w:lvl w:ilvl="4">
      <w:start w:val="1"/>
      <w:numFmt w:val="decimal"/>
      <w:isLgl/>
      <w:lvlText w:val="%1.%2.%3.%4.%5"/>
      <w:lvlJc w:val="left"/>
      <w:pPr>
        <w:tabs>
          <w:tab w:val="num" w:pos="0"/>
        </w:tabs>
        <w:ind w:left="1789" w:hanging="720"/>
      </w:pPr>
      <w:rPr/>
    </w:lvl>
    <w:lvl w:ilvl="5">
      <w:start w:val="1"/>
      <w:numFmt w:val="decimal"/>
      <w:isLgl/>
      <w:lvlText w:val="%1.%2.%3.%4.%5.%6"/>
      <w:lvlJc w:val="left"/>
      <w:pPr>
        <w:tabs>
          <w:tab w:val="num" w:pos="0"/>
        </w:tabs>
        <w:ind w:left="2149" w:hanging="1080"/>
      </w:pPr>
      <w:rPr/>
    </w:lvl>
    <w:lvl w:ilvl="6">
      <w:start w:val="1"/>
      <w:numFmt w:val="decimal"/>
      <w:isLgl/>
      <w:lvlText w:val="%1.%2.%3.%4.%5.%6.%7"/>
      <w:lvlJc w:val="left"/>
      <w:pPr>
        <w:tabs>
          <w:tab w:val="num" w:pos="0"/>
        </w:tabs>
        <w:ind w:left="2149" w:hanging="1080"/>
      </w:pPr>
      <w:rPr/>
    </w:lvl>
    <w:lvl w:ilvl="7">
      <w:start w:val="1"/>
      <w:numFmt w:val="decimal"/>
      <w:isLgl/>
      <w:lvlText w:val="%1.%2.%3.%4.%5.%6.%7.%8"/>
      <w:lvlJc w:val="left"/>
      <w:pPr>
        <w:tabs>
          <w:tab w:val="num" w:pos="0"/>
        </w:tabs>
        <w:ind w:left="2509" w:hanging="1440"/>
      </w:pPr>
      <w:rPr/>
    </w:lvl>
    <w:lvl w:ilvl="8">
      <w:start w:val="1"/>
      <w:numFmt w:val="decimal"/>
      <w:isLgl/>
      <w:lvlText w:val="%1.%2.%3.%4.%5.%6.%7.%8.%9"/>
      <w:lvlJc w:val="left"/>
      <w:pPr>
        <w:tabs>
          <w:tab w:val="num" w:pos="0"/>
        </w:tabs>
        <w:ind w:left="2509" w:hanging="1440"/>
      </w:pPr>
      <w:rPr/>
    </w:lvl>
  </w:abstractNum>
  <w:abstractNum w:abstractNumId="1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6">
    <w:lvl w:ilvl="0">
      <w:start w:val="5"/>
      <w:numFmt w:val="decimal"/>
      <w:lvlText w:val="%1."/>
      <w:lvlJc w:val="left"/>
      <w:pPr>
        <w:tabs>
          <w:tab w:val="num" w:pos="0"/>
        </w:tabs>
        <w:ind w:left="1287" w:hanging="360"/>
      </w:pPr>
      <w:rPr/>
    </w:lvl>
    <w:lvl w:ilvl="1">
      <w:start w:val="1"/>
      <w:numFmt w:val="decimal"/>
      <w:isLgl/>
      <w:lvlText w:val="%1.%2"/>
      <w:lvlJc w:val="left"/>
      <w:pPr>
        <w:tabs>
          <w:tab w:val="num" w:pos="0"/>
        </w:tabs>
        <w:ind w:left="1287" w:hanging="360"/>
      </w:pPr>
      <w:rPr>
        <w:b w:val="false"/>
      </w:rPr>
    </w:lvl>
    <w:lvl w:ilvl="2">
      <w:start w:val="1"/>
      <w:numFmt w:val="decimal"/>
      <w:isLgl/>
      <w:lvlText w:val="%1.%2.%3"/>
      <w:lvlJc w:val="left"/>
      <w:pPr>
        <w:tabs>
          <w:tab w:val="num" w:pos="0"/>
        </w:tabs>
        <w:ind w:left="1647" w:hanging="720"/>
      </w:pPr>
      <w:rPr>
        <w:b w:val="false"/>
      </w:rPr>
    </w:lvl>
    <w:lvl w:ilvl="3">
      <w:start w:val="1"/>
      <w:numFmt w:val="decimal"/>
      <w:isLgl/>
      <w:lvlText w:val="%1.%2.%3.%4"/>
      <w:lvlJc w:val="left"/>
      <w:pPr>
        <w:tabs>
          <w:tab w:val="num" w:pos="0"/>
        </w:tabs>
        <w:ind w:left="1647" w:hanging="720"/>
      </w:pPr>
      <w:rPr>
        <w:b w:val="false"/>
      </w:rPr>
    </w:lvl>
    <w:lvl w:ilvl="4">
      <w:start w:val="1"/>
      <w:numFmt w:val="decimal"/>
      <w:isLgl/>
      <w:lvlText w:val="%1.%2.%3.%4.%5"/>
      <w:lvlJc w:val="left"/>
      <w:pPr>
        <w:tabs>
          <w:tab w:val="num" w:pos="0"/>
        </w:tabs>
        <w:ind w:left="1647" w:hanging="720"/>
      </w:pPr>
      <w:rPr>
        <w:b w:val="false"/>
      </w:rPr>
    </w:lvl>
    <w:lvl w:ilvl="5">
      <w:start w:val="1"/>
      <w:numFmt w:val="decimal"/>
      <w:isLgl/>
      <w:lvlText w:val="%1.%2.%3.%4.%5.%6"/>
      <w:lvlJc w:val="left"/>
      <w:pPr>
        <w:tabs>
          <w:tab w:val="num" w:pos="0"/>
        </w:tabs>
        <w:ind w:left="2007" w:hanging="1080"/>
      </w:pPr>
      <w:rPr>
        <w:b w:val="false"/>
      </w:rPr>
    </w:lvl>
    <w:lvl w:ilvl="6">
      <w:start w:val="1"/>
      <w:numFmt w:val="decimal"/>
      <w:isLgl/>
      <w:lvlText w:val="%1.%2.%3.%4.%5.%6.%7"/>
      <w:lvlJc w:val="left"/>
      <w:pPr>
        <w:tabs>
          <w:tab w:val="num" w:pos="0"/>
        </w:tabs>
        <w:ind w:left="2007" w:hanging="1080"/>
      </w:pPr>
      <w:rPr>
        <w:b w:val="false"/>
      </w:rPr>
    </w:lvl>
    <w:lvl w:ilvl="7">
      <w:start w:val="1"/>
      <w:numFmt w:val="decimal"/>
      <w:isLgl/>
      <w:lvlText w:val="%1.%2.%3.%4.%5.%6.%7.%8"/>
      <w:lvlJc w:val="left"/>
      <w:pPr>
        <w:tabs>
          <w:tab w:val="num" w:pos="0"/>
        </w:tabs>
        <w:ind w:left="2367" w:hanging="1440"/>
      </w:pPr>
      <w:rPr>
        <w:b w:val="false"/>
      </w:rPr>
    </w:lvl>
    <w:lvl w:ilvl="8">
      <w:start w:val="1"/>
      <w:numFmt w:val="decimal"/>
      <w:isLgl/>
      <w:lvlText w:val="%1.%2.%3.%4.%5.%6.%7.%8.%9"/>
      <w:lvlJc w:val="left"/>
      <w:pPr>
        <w:tabs>
          <w:tab w:val="num" w:pos="0"/>
        </w:tabs>
        <w:ind w:left="2367" w:hanging="1440"/>
      </w:pPr>
      <w:rPr>
        <w:b w:val="false"/>
      </w:rPr>
    </w:lvl>
  </w:abstractNum>
  <w:abstractNum w:abstractNumId="17">
    <w:lvl w:ilvl="0">
      <w:start w:val="4"/>
      <w:numFmt w:val="decimal"/>
      <w:lvlText w:val="%1"/>
      <w:lvlJc w:val="left"/>
      <w:pPr>
        <w:tabs>
          <w:tab w:val="num" w:pos="0"/>
        </w:tabs>
        <w:ind w:left="360" w:hanging="360"/>
      </w:pPr>
      <w:rPr>
        <w:b w:val="false"/>
      </w:rPr>
    </w:lvl>
    <w:lvl w:ilvl="1">
      <w:start w:val="1"/>
      <w:numFmt w:val="decimal"/>
      <w:lvlText w:val="%1.%2"/>
      <w:lvlJc w:val="left"/>
      <w:pPr>
        <w:tabs>
          <w:tab w:val="num" w:pos="0"/>
        </w:tabs>
        <w:ind w:left="2088" w:hanging="360"/>
      </w:pPr>
      <w:rPr>
        <w:b w:val="false"/>
      </w:rPr>
    </w:lvl>
    <w:lvl w:ilvl="2">
      <w:start w:val="1"/>
      <w:numFmt w:val="decimal"/>
      <w:lvlText w:val="%1.%2.%3"/>
      <w:lvlJc w:val="left"/>
      <w:pPr>
        <w:tabs>
          <w:tab w:val="num" w:pos="0"/>
        </w:tabs>
        <w:ind w:left="4406" w:hanging="720"/>
      </w:pPr>
      <w:rPr>
        <w:b w:val="false"/>
      </w:rPr>
    </w:lvl>
    <w:lvl w:ilvl="3">
      <w:start w:val="1"/>
      <w:numFmt w:val="decimal"/>
      <w:lvlText w:val="%1.%2.%3.%4"/>
      <w:lvlJc w:val="left"/>
      <w:pPr>
        <w:tabs>
          <w:tab w:val="num" w:pos="0"/>
        </w:tabs>
        <w:ind w:left="5904" w:hanging="720"/>
      </w:pPr>
      <w:rPr>
        <w:b w:val="false"/>
      </w:rPr>
    </w:lvl>
    <w:lvl w:ilvl="4">
      <w:start w:val="1"/>
      <w:numFmt w:val="decimal"/>
      <w:lvlText w:val="%1.%2.%3.%4.%5"/>
      <w:lvlJc w:val="left"/>
      <w:pPr>
        <w:tabs>
          <w:tab w:val="num" w:pos="0"/>
        </w:tabs>
        <w:ind w:left="7632" w:hanging="720"/>
      </w:pPr>
      <w:rPr>
        <w:b w:val="false"/>
      </w:rPr>
    </w:lvl>
    <w:lvl w:ilvl="5">
      <w:start w:val="1"/>
      <w:numFmt w:val="decimal"/>
      <w:lvlText w:val="%1.%2.%3.%4.%5.%6"/>
      <w:lvlJc w:val="left"/>
      <w:pPr>
        <w:tabs>
          <w:tab w:val="num" w:pos="0"/>
        </w:tabs>
        <w:ind w:left="9720" w:hanging="1080"/>
      </w:pPr>
      <w:rPr>
        <w:b w:val="false"/>
      </w:rPr>
    </w:lvl>
    <w:lvl w:ilvl="6">
      <w:start w:val="1"/>
      <w:numFmt w:val="decimal"/>
      <w:lvlText w:val="%1.%2.%3.%4.%5.%6.%7"/>
      <w:lvlJc w:val="left"/>
      <w:pPr>
        <w:tabs>
          <w:tab w:val="num" w:pos="0"/>
        </w:tabs>
        <w:ind w:left="11448" w:hanging="1080"/>
      </w:pPr>
      <w:rPr>
        <w:b w:val="false"/>
      </w:rPr>
    </w:lvl>
    <w:lvl w:ilvl="7">
      <w:start w:val="1"/>
      <w:numFmt w:val="decimal"/>
      <w:lvlText w:val="%1.%2.%3.%4.%5.%6.%7.%8"/>
      <w:lvlJc w:val="left"/>
      <w:pPr>
        <w:tabs>
          <w:tab w:val="num" w:pos="0"/>
        </w:tabs>
        <w:ind w:left="13536" w:hanging="1440"/>
      </w:pPr>
      <w:rPr>
        <w:b w:val="false"/>
      </w:rPr>
    </w:lvl>
    <w:lvl w:ilvl="8">
      <w:start w:val="1"/>
      <w:numFmt w:val="decimal"/>
      <w:lvlText w:val="%1.%2.%3.%4.%5.%6.%7.%8.%9"/>
      <w:lvlJc w:val="left"/>
      <w:pPr>
        <w:tabs>
          <w:tab w:val="num" w:pos="0"/>
        </w:tabs>
        <w:ind w:left="15264" w:hanging="1440"/>
      </w:pPr>
      <w:rPr>
        <w:b w:val="false"/>
      </w:rPr>
    </w:lvl>
  </w:abstractNum>
  <w:abstractNum w:abstractNumId="18">
    <w:lvl w:ilvl="0">
      <w:start w:val="5"/>
      <w:numFmt w:val="decimal"/>
      <w:lvlText w:val="%1"/>
      <w:lvlJc w:val="left"/>
      <w:pPr>
        <w:tabs>
          <w:tab w:val="num" w:pos="0"/>
        </w:tabs>
        <w:ind w:left="405" w:hanging="405"/>
      </w:pPr>
      <w:rPr>
        <w:u w:val="none"/>
      </w:rPr>
    </w:lvl>
    <w:lvl w:ilvl="1">
      <w:start w:val="1"/>
      <w:numFmt w:val="decimal"/>
      <w:lvlText w:val="%1.%2"/>
      <w:lvlJc w:val="left"/>
      <w:pPr>
        <w:tabs>
          <w:tab w:val="num" w:pos="0"/>
        </w:tabs>
        <w:ind w:left="2248" w:hanging="405"/>
      </w:pPr>
      <w:rPr>
        <w:u w:val="none"/>
      </w:rPr>
    </w:lvl>
    <w:lvl w:ilvl="2">
      <w:start w:val="1"/>
      <w:numFmt w:val="decimal"/>
      <w:lvlText w:val="%1.%2.%3"/>
      <w:lvlJc w:val="left"/>
      <w:pPr>
        <w:tabs>
          <w:tab w:val="num" w:pos="0"/>
        </w:tabs>
        <w:ind w:left="1997" w:hanging="720"/>
      </w:pPr>
      <w:rPr>
        <w:b w:val="false"/>
        <w:bCs/>
        <w:u w:val="none"/>
      </w:rPr>
    </w:lvl>
    <w:lvl w:ilvl="3">
      <w:start w:val="1"/>
      <w:numFmt w:val="decimal"/>
      <w:lvlText w:val="%1.%2.%3.%4"/>
      <w:lvlJc w:val="left"/>
      <w:pPr>
        <w:tabs>
          <w:tab w:val="num" w:pos="0"/>
        </w:tabs>
        <w:ind w:left="6249" w:hanging="720"/>
      </w:pPr>
      <w:rPr>
        <w:u w:val="none"/>
      </w:rPr>
    </w:lvl>
    <w:lvl w:ilvl="4">
      <w:start w:val="1"/>
      <w:numFmt w:val="decimal"/>
      <w:lvlText w:val="%1.%2.%3.%4.%5"/>
      <w:lvlJc w:val="left"/>
      <w:pPr>
        <w:tabs>
          <w:tab w:val="num" w:pos="0"/>
        </w:tabs>
        <w:ind w:left="8092" w:hanging="720"/>
      </w:pPr>
      <w:rPr>
        <w:u w:val="none"/>
      </w:rPr>
    </w:lvl>
    <w:lvl w:ilvl="5">
      <w:start w:val="1"/>
      <w:numFmt w:val="decimal"/>
      <w:lvlText w:val="%1.%2.%3.%4.%5.%6"/>
      <w:lvlJc w:val="left"/>
      <w:pPr>
        <w:tabs>
          <w:tab w:val="num" w:pos="0"/>
        </w:tabs>
        <w:ind w:left="10295" w:hanging="1080"/>
      </w:pPr>
      <w:rPr>
        <w:u w:val="none"/>
      </w:rPr>
    </w:lvl>
    <w:lvl w:ilvl="6">
      <w:start w:val="1"/>
      <w:numFmt w:val="decimal"/>
      <w:lvlText w:val="%1.%2.%3.%4.%5.%6.%7"/>
      <w:lvlJc w:val="left"/>
      <w:pPr>
        <w:tabs>
          <w:tab w:val="num" w:pos="0"/>
        </w:tabs>
        <w:ind w:left="12138" w:hanging="1080"/>
      </w:pPr>
      <w:rPr>
        <w:u w:val="none"/>
      </w:rPr>
    </w:lvl>
    <w:lvl w:ilvl="7">
      <w:start w:val="1"/>
      <w:numFmt w:val="decimal"/>
      <w:lvlText w:val="%1.%2.%3.%4.%5.%6.%7.%8"/>
      <w:lvlJc w:val="left"/>
      <w:pPr>
        <w:tabs>
          <w:tab w:val="num" w:pos="0"/>
        </w:tabs>
        <w:ind w:left="14341" w:hanging="1440"/>
      </w:pPr>
      <w:rPr>
        <w:u w:val="none"/>
      </w:rPr>
    </w:lvl>
    <w:lvl w:ilvl="8">
      <w:start w:val="1"/>
      <w:numFmt w:val="decimal"/>
      <w:lvlText w:val="%1.%2.%3.%4.%5.%6.%7.%8.%9"/>
      <w:lvlJc w:val="left"/>
      <w:pPr>
        <w:tabs>
          <w:tab w:val="num" w:pos="0"/>
        </w:tabs>
        <w:ind w:left="16184" w:hanging="1440"/>
      </w:pPr>
      <w:rPr>
        <w:u w:val="none"/>
      </w:rPr>
    </w:lvl>
  </w:abstractNum>
  <w:abstractNum w:abstractNumId="19">
    <w:lvl w:ilvl="0">
      <w:start w:val="7"/>
      <w:numFmt w:val="decimal"/>
      <w:lvlText w:val="%1"/>
      <w:lvlJc w:val="left"/>
      <w:pPr>
        <w:tabs>
          <w:tab w:val="num" w:pos="0"/>
        </w:tabs>
        <w:ind w:left="510" w:hanging="510"/>
      </w:pPr>
      <w:rPr/>
    </w:lvl>
    <w:lvl w:ilvl="1">
      <w:start w:val="1"/>
      <w:numFmt w:val="decimal"/>
      <w:lvlText w:val="%1.%2"/>
      <w:lvlJc w:val="left"/>
      <w:pPr>
        <w:tabs>
          <w:tab w:val="num" w:pos="0"/>
        </w:tabs>
        <w:ind w:left="864" w:hanging="510"/>
      </w:pPr>
      <w:rPr/>
    </w:lvl>
    <w:lvl w:ilvl="2">
      <w:start w:val="12"/>
      <w:numFmt w:val="decimal"/>
      <w:lvlText w:val="%1.%2.%3"/>
      <w:lvlJc w:val="left"/>
      <w:pPr>
        <w:tabs>
          <w:tab w:val="num" w:pos="0"/>
        </w:tabs>
        <w:ind w:left="1428" w:hanging="720"/>
      </w:pPr>
      <w:rPr/>
    </w:lvl>
    <w:lvl w:ilvl="3">
      <w:start w:val="1"/>
      <w:numFmt w:val="decimal"/>
      <w:lvlText w:val="%1.%2.%3.%4"/>
      <w:lvlJc w:val="left"/>
      <w:pPr>
        <w:tabs>
          <w:tab w:val="num" w:pos="0"/>
        </w:tabs>
        <w:ind w:left="1782" w:hanging="720"/>
      </w:pPr>
      <w:rPr/>
    </w:lvl>
    <w:lvl w:ilvl="4">
      <w:start w:val="1"/>
      <w:numFmt w:val="decimal"/>
      <w:lvlText w:val="%1.%2.%3.%4.%5"/>
      <w:lvlJc w:val="left"/>
      <w:pPr>
        <w:tabs>
          <w:tab w:val="num" w:pos="0"/>
        </w:tabs>
        <w:ind w:left="2136" w:hanging="720"/>
      </w:pPr>
      <w:rPr/>
    </w:lvl>
    <w:lvl w:ilvl="5">
      <w:start w:val="1"/>
      <w:numFmt w:val="decimal"/>
      <w:lvlText w:val="%1.%2.%3.%4.%5.%6"/>
      <w:lvlJc w:val="left"/>
      <w:pPr>
        <w:tabs>
          <w:tab w:val="num" w:pos="0"/>
        </w:tabs>
        <w:ind w:left="2850" w:hanging="1080"/>
      </w:pPr>
      <w:rPr/>
    </w:lvl>
    <w:lvl w:ilvl="6">
      <w:start w:val="1"/>
      <w:numFmt w:val="decimal"/>
      <w:lvlText w:val="%1.%2.%3.%4.%5.%6.%7"/>
      <w:lvlJc w:val="left"/>
      <w:pPr>
        <w:tabs>
          <w:tab w:val="num" w:pos="0"/>
        </w:tabs>
        <w:ind w:left="3204" w:hanging="1080"/>
      </w:pPr>
      <w:rPr/>
    </w:lvl>
    <w:lvl w:ilvl="7">
      <w:start w:val="1"/>
      <w:numFmt w:val="decimal"/>
      <w:lvlText w:val="%1.%2.%3.%4.%5.%6.%7.%8"/>
      <w:lvlJc w:val="left"/>
      <w:pPr>
        <w:tabs>
          <w:tab w:val="num" w:pos="0"/>
        </w:tabs>
        <w:ind w:left="3918" w:hanging="1440"/>
      </w:pPr>
      <w:rPr/>
    </w:lvl>
    <w:lvl w:ilvl="8">
      <w:start w:val="1"/>
      <w:numFmt w:val="decimal"/>
      <w:lvlText w:val="%1.%2.%3.%4.%5.%6.%7.%8.%9"/>
      <w:lvlJc w:val="left"/>
      <w:pPr>
        <w:tabs>
          <w:tab w:val="num" w:pos="0"/>
        </w:tabs>
        <w:ind w:left="4272" w:hanging="1440"/>
      </w:pPr>
      <w:rPr/>
    </w:lvl>
  </w:abstractNum>
  <w:abstractNum w:abstractNumId="20">
    <w:lvl w:ilvl="0">
      <w:start w:val="8"/>
      <w:numFmt w:val="decimal"/>
      <w:lvlText w:val="%1"/>
      <w:lvlJc w:val="left"/>
      <w:pPr>
        <w:tabs>
          <w:tab w:val="num" w:pos="0"/>
        </w:tabs>
        <w:ind w:left="510" w:hanging="510"/>
      </w:pPr>
      <w:rPr/>
    </w:lvl>
    <w:lvl w:ilvl="1">
      <w:start w:val="1"/>
      <w:numFmt w:val="decimal"/>
      <w:lvlText w:val="%1.%2"/>
      <w:lvlJc w:val="left"/>
      <w:pPr>
        <w:tabs>
          <w:tab w:val="num" w:pos="0"/>
        </w:tabs>
        <w:ind w:left="864" w:hanging="510"/>
      </w:pPr>
      <w:rPr/>
    </w:lvl>
    <w:lvl w:ilvl="2">
      <w:start w:val="20"/>
      <w:numFmt w:val="decimal"/>
      <w:lvlText w:val="%1.%2.%3"/>
      <w:lvlJc w:val="left"/>
      <w:pPr>
        <w:tabs>
          <w:tab w:val="num" w:pos="0"/>
        </w:tabs>
        <w:ind w:left="1428" w:hanging="720"/>
      </w:pPr>
      <w:rPr>
        <w:b w:val="false"/>
        <w:bCs w:val="false"/>
      </w:rPr>
    </w:lvl>
    <w:lvl w:ilvl="3">
      <w:start w:val="1"/>
      <w:numFmt w:val="decimal"/>
      <w:lvlText w:val="%1.%2.%3.%4"/>
      <w:lvlJc w:val="left"/>
      <w:pPr>
        <w:tabs>
          <w:tab w:val="num" w:pos="0"/>
        </w:tabs>
        <w:ind w:left="1782" w:hanging="720"/>
      </w:pPr>
      <w:rPr/>
    </w:lvl>
    <w:lvl w:ilvl="4">
      <w:start w:val="1"/>
      <w:numFmt w:val="decimal"/>
      <w:lvlText w:val="%1.%2.%3.%4.%5"/>
      <w:lvlJc w:val="left"/>
      <w:pPr>
        <w:tabs>
          <w:tab w:val="num" w:pos="0"/>
        </w:tabs>
        <w:ind w:left="2136" w:hanging="720"/>
      </w:pPr>
      <w:rPr/>
    </w:lvl>
    <w:lvl w:ilvl="5">
      <w:start w:val="1"/>
      <w:numFmt w:val="decimal"/>
      <w:lvlText w:val="%1.%2.%3.%4.%5.%6"/>
      <w:lvlJc w:val="left"/>
      <w:pPr>
        <w:tabs>
          <w:tab w:val="num" w:pos="0"/>
        </w:tabs>
        <w:ind w:left="2850" w:hanging="1080"/>
      </w:pPr>
      <w:rPr/>
    </w:lvl>
    <w:lvl w:ilvl="6">
      <w:start w:val="1"/>
      <w:numFmt w:val="decimal"/>
      <w:lvlText w:val="%1.%2.%3.%4.%5.%6.%7"/>
      <w:lvlJc w:val="left"/>
      <w:pPr>
        <w:tabs>
          <w:tab w:val="num" w:pos="0"/>
        </w:tabs>
        <w:ind w:left="3204" w:hanging="1080"/>
      </w:pPr>
      <w:rPr/>
    </w:lvl>
    <w:lvl w:ilvl="7">
      <w:start w:val="1"/>
      <w:numFmt w:val="decimal"/>
      <w:lvlText w:val="%1.%2.%3.%4.%5.%6.%7.%8"/>
      <w:lvlJc w:val="left"/>
      <w:pPr>
        <w:tabs>
          <w:tab w:val="num" w:pos="0"/>
        </w:tabs>
        <w:ind w:left="3918" w:hanging="1440"/>
      </w:pPr>
      <w:rPr/>
    </w:lvl>
    <w:lvl w:ilvl="8">
      <w:start w:val="1"/>
      <w:numFmt w:val="decimal"/>
      <w:lvlText w:val="%1.%2.%3.%4.%5.%6.%7.%8.%9"/>
      <w:lvlJc w:val="left"/>
      <w:pPr>
        <w:tabs>
          <w:tab w:val="num" w:pos="0"/>
        </w:tabs>
        <w:ind w:left="4272" w:hanging="1440"/>
      </w:pPr>
      <w:rPr/>
    </w:lvl>
  </w:abstractNum>
  <w:abstractNum w:abstractNumId="21">
    <w:lvl w:ilvl="0">
      <w:start w:val="12"/>
      <w:numFmt w:val="decimal"/>
      <w:lvlText w:val="%1"/>
      <w:lvlJc w:val="left"/>
      <w:pPr>
        <w:tabs>
          <w:tab w:val="num" w:pos="0"/>
        </w:tabs>
        <w:ind w:left="360" w:hanging="360"/>
      </w:pPr>
      <w:rPr/>
    </w:lvl>
    <w:lvl w:ilvl="1">
      <w:start w:val="2"/>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720" w:hanging="72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080" w:hanging="108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440" w:hanging="1440"/>
      </w:pPr>
      <w:rPr/>
    </w:lvl>
  </w:abstractNum>
  <w:abstractNum w:abstractNumId="22">
    <w:lvl w:ilvl="0">
      <w:start w:val="12"/>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5">
    <w:lvl w:ilvl="0">
      <w:start w:val="14"/>
      <w:numFmt w:val="decimal"/>
      <w:lvlText w:val="%1"/>
      <w:lvlJc w:val="left"/>
      <w:pPr>
        <w:tabs>
          <w:tab w:val="num" w:pos="0"/>
        </w:tabs>
        <w:ind w:left="660" w:hanging="660"/>
      </w:pPr>
      <w:rPr/>
    </w:lvl>
    <w:lvl w:ilvl="1">
      <w:start w:val="2"/>
      <w:numFmt w:val="decimal"/>
      <w:lvlText w:val="%1.%2"/>
      <w:lvlJc w:val="left"/>
      <w:pPr>
        <w:tabs>
          <w:tab w:val="num" w:pos="0"/>
        </w:tabs>
        <w:ind w:left="660" w:hanging="660"/>
      </w:pPr>
      <w:rPr/>
    </w:lvl>
    <w:lvl w:ilvl="2">
      <w:start w:val="4"/>
      <w:numFmt w:val="decimal"/>
      <w:lvlText w:val="%1.%2.%3"/>
      <w:lvlJc w:val="left"/>
      <w:pPr>
        <w:tabs>
          <w:tab w:val="num" w:pos="0"/>
        </w:tabs>
        <w:ind w:left="720" w:hanging="720"/>
      </w:pPr>
      <w:rPr/>
    </w:lvl>
    <w:lvl w:ilvl="3">
      <w:start w:val="5"/>
      <w:numFmt w:val="decimal"/>
      <w:lvlText w:val="%1.%2.%3.%4"/>
      <w:lvlJc w:val="left"/>
      <w:pPr>
        <w:tabs>
          <w:tab w:val="num" w:pos="0"/>
        </w:tabs>
        <w:ind w:left="720" w:hanging="720"/>
      </w:pPr>
      <w:rPr/>
    </w:lvl>
    <w:lvl w:ilvl="4">
      <w:start w:val="1"/>
      <w:numFmt w:val="decimal"/>
      <w:lvlText w:val="%1.%2.%3.%4.%5"/>
      <w:lvlJc w:val="left"/>
      <w:pPr>
        <w:tabs>
          <w:tab w:val="num" w:pos="0"/>
        </w:tabs>
        <w:ind w:left="720" w:hanging="72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080" w:hanging="108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440" w:hanging="1440"/>
      </w:pPr>
      <w:rPr/>
    </w:lvl>
  </w:abstractNum>
  <w:abstractNum w:abstractNumId="2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8">
    <w:lvl w:ilvl="0">
      <w:start w:val="5"/>
      <w:numFmt w:val="decimal"/>
      <w:lvlText w:val="%1"/>
      <w:lvlJc w:val="left"/>
      <w:pPr>
        <w:tabs>
          <w:tab w:val="num" w:pos="0"/>
        </w:tabs>
        <w:ind w:left="360" w:hanging="360"/>
      </w:pPr>
      <w:rPr/>
    </w:lvl>
    <w:lvl w:ilvl="1">
      <w:start w:val="3"/>
      <w:numFmt w:val="decimal"/>
      <w:lvlText w:val="%1.%2"/>
      <w:lvlJc w:val="left"/>
      <w:pPr>
        <w:tabs>
          <w:tab w:val="num" w:pos="0"/>
        </w:tabs>
        <w:ind w:left="1287" w:hanging="360"/>
      </w:pPr>
      <w:rPr/>
    </w:lvl>
    <w:lvl w:ilvl="2">
      <w:start w:val="1"/>
      <w:numFmt w:val="decimal"/>
      <w:lvlText w:val="%1.%2.%3"/>
      <w:lvlJc w:val="left"/>
      <w:pPr>
        <w:tabs>
          <w:tab w:val="num" w:pos="0"/>
        </w:tabs>
        <w:ind w:left="2574" w:hanging="720"/>
      </w:pPr>
      <w:rPr/>
    </w:lvl>
    <w:lvl w:ilvl="3">
      <w:start w:val="1"/>
      <w:numFmt w:val="decimal"/>
      <w:lvlText w:val="%1.%2.%3.%4"/>
      <w:lvlJc w:val="left"/>
      <w:pPr>
        <w:tabs>
          <w:tab w:val="num" w:pos="0"/>
        </w:tabs>
        <w:ind w:left="3501" w:hanging="720"/>
      </w:pPr>
      <w:rPr/>
    </w:lvl>
    <w:lvl w:ilvl="4">
      <w:start w:val="1"/>
      <w:numFmt w:val="decimal"/>
      <w:lvlText w:val="%1.%2.%3.%4.%5"/>
      <w:lvlJc w:val="left"/>
      <w:pPr>
        <w:tabs>
          <w:tab w:val="num" w:pos="0"/>
        </w:tabs>
        <w:ind w:left="4428" w:hanging="720"/>
      </w:pPr>
      <w:rPr/>
    </w:lvl>
    <w:lvl w:ilvl="5">
      <w:start w:val="1"/>
      <w:numFmt w:val="decimal"/>
      <w:lvlText w:val="%1.%2.%3.%4.%5.%6"/>
      <w:lvlJc w:val="left"/>
      <w:pPr>
        <w:tabs>
          <w:tab w:val="num" w:pos="0"/>
        </w:tabs>
        <w:ind w:left="5715" w:hanging="1080"/>
      </w:pPr>
      <w:rPr/>
    </w:lvl>
    <w:lvl w:ilvl="6">
      <w:start w:val="1"/>
      <w:numFmt w:val="decimal"/>
      <w:lvlText w:val="%1.%2.%3.%4.%5.%6.%7"/>
      <w:lvlJc w:val="left"/>
      <w:pPr>
        <w:tabs>
          <w:tab w:val="num" w:pos="0"/>
        </w:tabs>
        <w:ind w:left="6642" w:hanging="1080"/>
      </w:pPr>
      <w:rPr/>
    </w:lvl>
    <w:lvl w:ilvl="7">
      <w:start w:val="1"/>
      <w:numFmt w:val="decimal"/>
      <w:lvlText w:val="%1.%2.%3.%4.%5.%6.%7.%8"/>
      <w:lvlJc w:val="left"/>
      <w:pPr>
        <w:tabs>
          <w:tab w:val="num" w:pos="0"/>
        </w:tabs>
        <w:ind w:left="7929" w:hanging="1440"/>
      </w:pPr>
      <w:rPr/>
    </w:lvl>
    <w:lvl w:ilvl="8">
      <w:start w:val="1"/>
      <w:numFmt w:val="decimal"/>
      <w:lvlText w:val="%1.%2.%3.%4.%5.%6.%7.%8.%9"/>
      <w:lvlJc w:val="left"/>
      <w:pPr>
        <w:tabs>
          <w:tab w:val="num" w:pos="0"/>
        </w:tabs>
        <w:ind w:left="8856" w:hanging="1440"/>
      </w:pPr>
      <w:rPr/>
    </w:lvl>
  </w:abstractNum>
  <w:abstractNum w:abstractNumId="2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0">
    <w:lvl w:ilvl="0">
      <w:start w:val="8"/>
      <w:numFmt w:val="decimal"/>
      <w:lvlText w:val="%1"/>
      <w:lvlJc w:val="left"/>
      <w:pPr>
        <w:tabs>
          <w:tab w:val="num" w:pos="0"/>
        </w:tabs>
        <w:ind w:left="510" w:hanging="510"/>
      </w:pPr>
      <w:rPr/>
    </w:lvl>
    <w:lvl w:ilvl="1">
      <w:start w:val="1"/>
      <w:numFmt w:val="decimal"/>
      <w:lvlText w:val="%1.%2"/>
      <w:lvlJc w:val="left"/>
      <w:pPr>
        <w:tabs>
          <w:tab w:val="num" w:pos="0"/>
        </w:tabs>
        <w:ind w:left="864" w:hanging="510"/>
      </w:pPr>
      <w:rPr/>
    </w:lvl>
    <w:lvl w:ilvl="2">
      <w:start w:val="18"/>
      <w:numFmt w:val="decimal"/>
      <w:lvlText w:val="%1.%2.%3"/>
      <w:lvlJc w:val="left"/>
      <w:pPr>
        <w:tabs>
          <w:tab w:val="num" w:pos="0"/>
        </w:tabs>
        <w:ind w:left="1428" w:hanging="720"/>
      </w:pPr>
      <w:rPr/>
    </w:lvl>
    <w:lvl w:ilvl="3">
      <w:start w:val="1"/>
      <w:numFmt w:val="decimal"/>
      <w:lvlText w:val="%1.%2.%3.%4"/>
      <w:lvlJc w:val="left"/>
      <w:pPr>
        <w:tabs>
          <w:tab w:val="num" w:pos="0"/>
        </w:tabs>
        <w:ind w:left="1782" w:hanging="720"/>
      </w:pPr>
      <w:rPr/>
    </w:lvl>
    <w:lvl w:ilvl="4">
      <w:start w:val="1"/>
      <w:numFmt w:val="decimal"/>
      <w:lvlText w:val="%1.%2.%3.%4.%5"/>
      <w:lvlJc w:val="left"/>
      <w:pPr>
        <w:tabs>
          <w:tab w:val="num" w:pos="0"/>
        </w:tabs>
        <w:ind w:left="2136" w:hanging="720"/>
      </w:pPr>
      <w:rPr/>
    </w:lvl>
    <w:lvl w:ilvl="5">
      <w:start w:val="1"/>
      <w:numFmt w:val="decimal"/>
      <w:lvlText w:val="%1.%2.%3.%4.%5.%6"/>
      <w:lvlJc w:val="left"/>
      <w:pPr>
        <w:tabs>
          <w:tab w:val="num" w:pos="0"/>
        </w:tabs>
        <w:ind w:left="2850" w:hanging="1080"/>
      </w:pPr>
      <w:rPr/>
    </w:lvl>
    <w:lvl w:ilvl="6">
      <w:start w:val="1"/>
      <w:numFmt w:val="decimal"/>
      <w:lvlText w:val="%1.%2.%3.%4.%5.%6.%7"/>
      <w:lvlJc w:val="left"/>
      <w:pPr>
        <w:tabs>
          <w:tab w:val="num" w:pos="0"/>
        </w:tabs>
        <w:ind w:left="3204" w:hanging="1080"/>
      </w:pPr>
      <w:rPr/>
    </w:lvl>
    <w:lvl w:ilvl="7">
      <w:start w:val="1"/>
      <w:numFmt w:val="decimal"/>
      <w:lvlText w:val="%1.%2.%3.%4.%5.%6.%7.%8"/>
      <w:lvlJc w:val="left"/>
      <w:pPr>
        <w:tabs>
          <w:tab w:val="num" w:pos="0"/>
        </w:tabs>
        <w:ind w:left="3918" w:hanging="1440"/>
      </w:pPr>
      <w:rPr/>
    </w:lvl>
    <w:lvl w:ilvl="8">
      <w:start w:val="1"/>
      <w:numFmt w:val="decimal"/>
      <w:lvlText w:val="%1.%2.%3.%4.%5.%6.%7.%8.%9"/>
      <w:lvlJc w:val="left"/>
      <w:pPr>
        <w:tabs>
          <w:tab w:val="num" w:pos="0"/>
        </w:tabs>
        <w:ind w:left="4272" w:hanging="1440"/>
      </w:pPr>
      <w:rPr/>
    </w:lvl>
  </w:abstractNum>
  <w:abstractNum w:abstractNumId="3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bering>
</file>

<file path=word/settings.xml><?xml version="1.0" encoding="utf-8"?>
<w:settings xmlns:w="http://schemas.openxmlformats.org/wordprocessingml/2006/main">
  <w:zoom w:percent="132"/>
  <w:mirrorMargins/>
  <w:defaultTabStop w:val="708"/>
  <w:autoHyphenation w:val="true"/>
  <w:hyphenationZone w:val="0"/>
  <w:compat>
    <w:doNotBreakWrappedTables/>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pt-BR" w:eastAsia="ja-JP"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Ecofont_Spranq_eco_Sans" w:hAnsi="Ecofont_Spranq_eco_Sans" w:eastAsia="Arial" w:cs="Tahoma" w:eastAsiaTheme="minorEastAsia"/>
      <w:color w:val="auto"/>
      <w:kern w:val="0"/>
      <w:sz w:val="24"/>
      <w:szCs w:val="24"/>
      <w:lang w:val="pt-BR" w:eastAsia="pt-BR" w:bidi="ar-SA"/>
    </w:rPr>
  </w:style>
  <w:style w:type="paragraph" w:styleId="Heading1">
    <w:name w:val="heading 1"/>
    <w:basedOn w:val="Normal"/>
    <w:qFormat/>
    <w:pPr>
      <w:keepNext w:val="true"/>
      <w:keepLines/>
      <w:spacing w:before="480" w:after="0"/>
      <w:outlineLvl w:val="0"/>
    </w:pPr>
    <w:rPr>
      <w:rFonts w:ascii="Calibri" w:hAnsi="Calibri" w:eastAsia="Arial" w:cs="Arial" w:asciiTheme="majorHAnsi" w:cstheme="majorBidi" w:eastAsiaTheme="majorEastAsia" w:hAnsiTheme="majorHAnsi"/>
      <w:b/>
      <w:bCs/>
      <w:color w:themeColor="accent1" w:themeShade="bf" w:val="365F91"/>
      <w:sz w:val="28"/>
      <w:szCs w:val="28"/>
    </w:rPr>
  </w:style>
  <w:style w:type="paragraph" w:styleId="Heading2">
    <w:name w:val="heading 2"/>
    <w:basedOn w:val="Normal"/>
    <w:qFormat/>
    <w:pPr>
      <w:keepNext w:val="true"/>
      <w:tabs>
        <w:tab w:val="clear" w:pos="708"/>
        <w:tab w:val="left" w:pos="1701" w:leader="none"/>
      </w:tabs>
      <w:ind w:right="-1"/>
      <w:jc w:val="center"/>
      <w:outlineLvl w:val="1"/>
    </w:pPr>
    <w:rPr>
      <w:rFonts w:ascii="Times New Roman" w:hAnsi="Times New Roman" w:cs="Times New Roman"/>
      <w:b/>
      <w:color w:val="000000"/>
      <w:szCs w:val="20"/>
    </w:rPr>
  </w:style>
  <w:style w:type="paragraph" w:styleId="Heading3">
    <w:name w:val="heading 3"/>
    <w:basedOn w:val="Normal"/>
    <w:uiPriority w:val="9"/>
    <w:unhideWhenUsed/>
    <w:qFormat/>
    <w:pPr>
      <w:keepNext w:val="true"/>
      <w:keepLines/>
      <w:spacing w:lineRule="auto" w:line="259" w:before="40" w:after="0"/>
      <w:outlineLvl w:val="2"/>
    </w:pPr>
    <w:rPr>
      <w:rFonts w:ascii="Calibri" w:hAnsi="Calibri" w:eastAsia="Arial" w:cs="Arial" w:asciiTheme="majorHAnsi" w:cstheme="majorBidi" w:eastAsiaTheme="majorEastAsia" w:hAnsiTheme="majorHAnsi"/>
      <w:color w:themeColor="accent1" w:themeShade="80" w:val="244061"/>
      <w:lang w:eastAsia="en-US"/>
    </w:rPr>
  </w:style>
  <w:style w:type="paragraph" w:styleId="Heading4">
    <w:name w:val="heading 4"/>
    <w:basedOn w:val="Normal"/>
    <w:semiHidden/>
    <w:unhideWhenUsed/>
    <w:qFormat/>
    <w:pPr>
      <w:keepNext w:val="true"/>
      <w:keepLines/>
      <w:spacing w:before="40" w:after="0"/>
      <w:outlineLvl w:val="3"/>
    </w:pPr>
    <w:rPr>
      <w:rFonts w:ascii="Calibri" w:hAnsi="Calibri" w:eastAsia="Arial" w:cs="Arial" w:asciiTheme="majorHAnsi" w:cstheme="majorBidi" w:eastAsiaTheme="majorEastAsia" w:hAnsiTheme="majorHAnsi"/>
      <w:i/>
      <w:iCs/>
      <w:color w:themeColor="accent1" w:themeShade="bf" w:val="365F91"/>
    </w:rPr>
  </w:style>
  <w:style w:type="paragraph" w:styleId="Heading5">
    <w:name w:val="heading 5"/>
    <w:basedOn w:val="Normal"/>
    <w:uiPriority w:val="9"/>
    <w:unhideWhenUsed/>
    <w:qFormat/>
    <w:pPr>
      <w:keepNext w:val="true"/>
      <w:keepLines/>
      <w:spacing w:before="320" w:after="200"/>
      <w:outlineLvl w:val="4"/>
    </w:pPr>
    <w:rPr>
      <w:rFonts w:ascii="Arial" w:hAnsi="Arial" w:eastAsia="Arial" w:cs="Arial"/>
      <w:b/>
      <w:bCs/>
    </w:rPr>
  </w:style>
  <w:style w:type="paragraph" w:styleId="Heading6">
    <w:name w:val="heading 6"/>
    <w:basedOn w:val="Normal"/>
    <w:uiPriority w:val="9"/>
    <w:semiHidden/>
    <w:unhideWhenUsed/>
    <w:qFormat/>
    <w:pPr>
      <w:keepNext w:val="true"/>
      <w:keepLines/>
      <w:spacing w:lineRule="auto" w:line="259" w:before="40" w:after="0"/>
      <w:outlineLvl w:val="5"/>
    </w:pPr>
    <w:rPr>
      <w:rFonts w:ascii="Calibri" w:hAnsi="Calibri" w:eastAsia="Arial" w:cs="Arial" w:asciiTheme="majorHAnsi" w:cstheme="majorBidi" w:eastAsiaTheme="majorEastAsia" w:hAnsiTheme="majorHAnsi"/>
      <w:color w:themeColor="accent1" w:themeShade="80" w:val="244061"/>
      <w:sz w:val="22"/>
      <w:szCs w:val="22"/>
      <w:lang w:eastAsia="en-US"/>
    </w:rPr>
  </w:style>
  <w:style w:type="paragraph" w:styleId="Heading7">
    <w:name w:val="heading 7"/>
    <w:basedOn w:val="Normal"/>
    <w:uiPriority w:val="9"/>
    <w:unhideWhenUsed/>
    <w:qFormat/>
    <w:pPr>
      <w:keepNext w:val="true"/>
      <w:keepLines/>
      <w:spacing w:before="320" w:after="200"/>
      <w:outlineLvl w:val="6"/>
    </w:pPr>
    <w:rPr>
      <w:rFonts w:ascii="Arial" w:hAnsi="Arial" w:eastAsia="Arial" w:cs="Arial"/>
      <w:b/>
      <w:bCs/>
      <w:i/>
      <w:iCs/>
      <w:sz w:val="22"/>
      <w:szCs w:val="22"/>
    </w:rPr>
  </w:style>
  <w:style w:type="paragraph" w:styleId="Heading8">
    <w:name w:val="heading 8"/>
    <w:basedOn w:val="Normal"/>
    <w:uiPriority w:val="9"/>
    <w:unhideWhenUsed/>
    <w:qFormat/>
    <w:pPr>
      <w:keepNext w:val="true"/>
      <w:keepLines/>
      <w:spacing w:before="320" w:after="200"/>
      <w:outlineLvl w:val="7"/>
    </w:pPr>
    <w:rPr>
      <w:rFonts w:ascii="Arial" w:hAnsi="Arial" w:eastAsia="Arial" w:cs="Arial"/>
      <w:i/>
      <w:iCs/>
      <w:sz w:val="22"/>
      <w:szCs w:val="22"/>
    </w:rPr>
  </w:style>
  <w:style w:type="paragraph" w:styleId="Heading9">
    <w:name w:val="heading 9"/>
    <w:basedOn w:val="Normal"/>
    <w:uiPriority w:val="9"/>
    <w:unhideWhenUsed/>
    <w:qFormat/>
    <w:pPr>
      <w:keepNext w:val="true"/>
      <w:keepLines/>
      <w:spacing w:before="320" w:after="200"/>
      <w:outlineLvl w:val="8"/>
    </w:pPr>
    <w:rPr>
      <w:rFonts w:ascii="Arial" w:hAnsi="Arial" w:eastAsia="Arial" w:cs="Arial"/>
      <w:i/>
      <w:iCs/>
      <w:sz w:val="21"/>
      <w:szCs w:val="21"/>
    </w:rPr>
  </w:style>
  <w:style w:type="character" w:styleId="DefaultParagraphFont" w:default="1">
    <w:name w:val="Default Paragraph Font"/>
    <w:uiPriority w:val="1"/>
    <w:unhideWhenUsed/>
    <w:qFormat/>
    <w:rPr/>
  </w:style>
  <w:style w:type="character" w:styleId="Heading5Char" w:customStyle="1">
    <w:name w:val="Heading 5 Char"/>
    <w:basedOn w:val="DefaultParagraphFont"/>
    <w:uiPriority w:val="9"/>
    <w:qFormat/>
    <w:rPr>
      <w:rFonts w:ascii="Arial" w:hAnsi="Arial" w:eastAsia="Arial" w:cs="Arial"/>
      <w:b/>
      <w:bCs/>
      <w:sz w:val="24"/>
      <w:szCs w:val="24"/>
    </w:rPr>
  </w:style>
  <w:style w:type="character" w:styleId="Heading7Char" w:customStyle="1">
    <w:name w:val="Heading 7 Char"/>
    <w:basedOn w:val="DefaultParagraphFont"/>
    <w:uiPriority w:val="9"/>
    <w:qFormat/>
    <w:rPr>
      <w:rFonts w:ascii="Arial" w:hAnsi="Arial" w:eastAsia="Arial" w:cs="Arial"/>
      <w:b/>
      <w:bCs/>
      <w:i/>
      <w:iCs/>
      <w:sz w:val="22"/>
      <w:szCs w:val="22"/>
    </w:rPr>
  </w:style>
  <w:style w:type="character" w:styleId="Heading8Char" w:customStyle="1">
    <w:name w:val="Heading 8 Char"/>
    <w:basedOn w:val="DefaultParagraphFont"/>
    <w:uiPriority w:val="9"/>
    <w:qFormat/>
    <w:rPr>
      <w:rFonts w:ascii="Arial" w:hAnsi="Arial" w:eastAsia="Arial" w:cs="Arial"/>
      <w:i/>
      <w:iCs/>
      <w:sz w:val="22"/>
      <w:szCs w:val="22"/>
    </w:rPr>
  </w:style>
  <w:style w:type="character" w:styleId="Heading9Char" w:customStyle="1">
    <w:name w:val="Heading 9 Char"/>
    <w:basedOn w:val="DefaultParagraphFont"/>
    <w:uiPriority w:val="9"/>
    <w:qFormat/>
    <w:rPr>
      <w:rFonts w:ascii="Arial" w:hAnsi="Arial" w:eastAsia="Arial" w:cs="Arial"/>
      <w:i/>
      <w:iCs/>
      <w:sz w:val="21"/>
      <w:szCs w:val="21"/>
    </w:rPr>
  </w:style>
  <w:style w:type="character" w:styleId="SubtitleChar" w:customStyle="1">
    <w:name w:val="Subtitle Char"/>
    <w:basedOn w:val="DefaultParagraphFont"/>
    <w:uiPriority w:val="11"/>
    <w:qFormat/>
    <w:rPr>
      <w:sz w:val="24"/>
      <w:szCs w:val="24"/>
    </w:rPr>
  </w:style>
  <w:style w:type="character" w:styleId="IntenseQuoteChar" w:customStyle="1">
    <w:name w:val="Intense Quote Char"/>
    <w:uiPriority w:val="30"/>
    <w:qFormat/>
    <w:rPr>
      <w:i/>
    </w:rPr>
  </w:style>
  <w:style w:type="character" w:styleId="FootnoteTextChar" w:customStyle="1">
    <w:name w:val="Footnote Text Char"/>
    <w:uiPriority w:val="99"/>
    <w:qFormat/>
    <w:rPr>
      <w:sz w:val="18"/>
    </w:rPr>
  </w:style>
  <w:style w:type="character" w:styleId="EndnoteTextChar" w:customStyle="1">
    <w:name w:val="Endnote Text Char"/>
    <w:uiPriority w:val="99"/>
    <w:qFormat/>
    <w:rPr>
      <w:sz w:val="20"/>
    </w:rPr>
  </w:style>
  <w:style w:type="character" w:styleId="Caracteresdenotadefimuser" w:customStyle="1">
    <w:name w:val="Caracteres de nota de fim (user)"/>
    <w:uiPriority w:val="99"/>
    <w:semiHidden/>
    <w:unhideWhenUsed/>
    <w:qFormat/>
    <w:rPr>
      <w:vertAlign w:val="superscript"/>
    </w:rPr>
  </w:style>
  <w:style w:type="character" w:styleId="Caracteresdenotadefim" w:customStyle="1">
    <w:name w:val="Caracteres de nota de fim"/>
    <w:qFormat/>
    <w:rPr>
      <w:vertAlign w:val="superscript"/>
    </w:rPr>
  </w:style>
  <w:style w:type="character" w:styleId="EndnoteReference">
    <w:name w:val="endnote reference"/>
    <w:rPr>
      <w:vertAlign w:val="superscript"/>
    </w:rPr>
  </w:style>
  <w:style w:type="character" w:styleId="Strong">
    <w:name w:val="Strong"/>
    <w:basedOn w:val="DefaultParagraphFont"/>
    <w:uiPriority w:val="22"/>
    <w:qFormat/>
    <w:rPr>
      <w:b/>
      <w:bCs/>
    </w:rPr>
  </w:style>
  <w:style w:type="character" w:styleId="CommentReference">
    <w:name w:val="annotation reference"/>
    <w:basedOn w:val="DefaultParagraphFont"/>
    <w:unhideWhenUsed/>
    <w:qFormat/>
    <w:rPr>
      <w:sz w:val="16"/>
      <w:szCs w:val="16"/>
    </w:rPr>
  </w:style>
  <w:style w:type="character" w:styleId="FollowedHyperlink">
    <w:name w:val="FollowedHyperlink"/>
    <w:basedOn w:val="DefaultParagraphFont"/>
    <w:semiHidden/>
    <w:unhideWhenUsed/>
    <w:qFormat/>
    <w:rPr>
      <w:color w:themeColor="followedHyperlink" w:val="800080"/>
      <w:u w:val="single"/>
    </w:rPr>
  </w:style>
  <w:style w:type="character" w:styleId="Emphasis">
    <w:name w:val="Emphasis"/>
    <w:basedOn w:val="DefaultParagraphFont"/>
    <w:qFormat/>
    <w:rPr>
      <w:i/>
      <w:iCs/>
    </w:rPr>
  </w:style>
  <w:style w:type="character" w:styleId="Caracteresdenotaderodapuser" w:customStyle="1">
    <w:name w:val="Caracteres de nota de rodapé (user)"/>
    <w:uiPriority w:val="99"/>
    <w:unhideWhenUsed/>
    <w:qFormat/>
    <w:rPr>
      <w:vertAlign w:val="superscript"/>
    </w:rPr>
  </w:style>
  <w:style w:type="character" w:styleId="Caracteresdenotaderodap" w:customStyle="1">
    <w:name w:val="Caracteres de nota de rodapé"/>
    <w:qFormat/>
    <w:rPr>
      <w:vertAlign w:val="superscript"/>
    </w:rPr>
  </w:style>
  <w:style w:type="character" w:styleId="FootnoteReference">
    <w:name w:val="footnote reference"/>
    <w:rPr>
      <w:vertAlign w:val="superscript"/>
    </w:rPr>
  </w:style>
  <w:style w:type="character" w:styleId="Hyperlink1" w:customStyle="1">
    <w:name w:val="Hyperlink1"/>
    <w:basedOn w:val="DefaultParagraphFont"/>
    <w:uiPriority w:val="99"/>
    <w:unhideWhenUsed/>
    <w:qFormat/>
    <w:rPr>
      <w:color w:themeColor="hyperlink" w:val="0000FF"/>
      <w:u w:val="single"/>
    </w:rPr>
  </w:style>
  <w:style w:type="character" w:styleId="Heading1Char" w:customStyle="1">
    <w:name w:val="Heading 1 Char"/>
    <w:basedOn w:val="DefaultParagraphFont"/>
    <w:uiPriority w:val="9"/>
    <w:qFormat/>
    <w:rPr>
      <w:rFonts w:ascii="Arial" w:hAnsi="Arial" w:eastAsia="Arial" w:cs="Arial"/>
      <w:sz w:val="40"/>
      <w:szCs w:val="40"/>
    </w:rPr>
  </w:style>
  <w:style w:type="character" w:styleId="Heading2Char" w:customStyle="1">
    <w:name w:val="Heading 2 Char"/>
    <w:basedOn w:val="DefaultParagraphFont"/>
    <w:uiPriority w:val="9"/>
    <w:qFormat/>
    <w:rPr>
      <w:rFonts w:ascii="Arial" w:hAnsi="Arial" w:eastAsia="Arial" w:cs="Arial"/>
      <w:sz w:val="34"/>
    </w:rPr>
  </w:style>
  <w:style w:type="character" w:styleId="Heading3Char" w:customStyle="1">
    <w:name w:val="Heading 3 Char"/>
    <w:basedOn w:val="DefaultParagraphFont"/>
    <w:uiPriority w:val="9"/>
    <w:qFormat/>
    <w:rPr>
      <w:rFonts w:ascii="Arial" w:hAnsi="Arial" w:eastAsia="Arial" w:cs="Arial"/>
      <w:sz w:val="30"/>
      <w:szCs w:val="30"/>
    </w:rPr>
  </w:style>
  <w:style w:type="character" w:styleId="Heading4Char" w:customStyle="1">
    <w:name w:val="Heading 4 Char"/>
    <w:basedOn w:val="DefaultParagraphFont"/>
    <w:uiPriority w:val="9"/>
    <w:qFormat/>
    <w:rPr>
      <w:rFonts w:ascii="Arial" w:hAnsi="Arial" w:eastAsia="Arial" w:cs="Arial"/>
      <w:b/>
      <w:bCs/>
      <w:sz w:val="26"/>
      <w:szCs w:val="26"/>
    </w:rPr>
  </w:style>
  <w:style w:type="character" w:styleId="Ttulo5Char" w:customStyle="1">
    <w:name w:val="Título 5 Char"/>
    <w:basedOn w:val="DefaultParagraphFont"/>
    <w:uiPriority w:val="9"/>
    <w:qFormat/>
    <w:rPr>
      <w:rFonts w:ascii="Arial" w:hAnsi="Arial" w:eastAsia="Arial" w:cs="Arial"/>
      <w:b/>
      <w:bCs/>
      <w:sz w:val="24"/>
      <w:szCs w:val="24"/>
    </w:rPr>
  </w:style>
  <w:style w:type="character" w:styleId="Heading6Char" w:customStyle="1">
    <w:name w:val="Heading 6 Char"/>
    <w:basedOn w:val="DefaultParagraphFont"/>
    <w:uiPriority w:val="9"/>
    <w:qFormat/>
    <w:rPr>
      <w:rFonts w:ascii="Arial" w:hAnsi="Arial" w:eastAsia="Arial" w:cs="Arial"/>
      <w:b/>
      <w:bCs/>
      <w:sz w:val="22"/>
      <w:szCs w:val="22"/>
    </w:rPr>
  </w:style>
  <w:style w:type="character" w:styleId="Ttulo7Char" w:customStyle="1">
    <w:name w:val="Título 7 Char"/>
    <w:basedOn w:val="DefaultParagraphFont"/>
    <w:uiPriority w:val="9"/>
    <w:qFormat/>
    <w:rPr>
      <w:rFonts w:ascii="Arial" w:hAnsi="Arial" w:eastAsia="Arial" w:cs="Arial"/>
      <w:b/>
      <w:bCs/>
      <w:i/>
      <w:iCs/>
      <w:sz w:val="22"/>
      <w:szCs w:val="22"/>
    </w:rPr>
  </w:style>
  <w:style w:type="character" w:styleId="Ttulo8Char" w:customStyle="1">
    <w:name w:val="Título 8 Char"/>
    <w:basedOn w:val="DefaultParagraphFont"/>
    <w:uiPriority w:val="9"/>
    <w:qFormat/>
    <w:rPr>
      <w:rFonts w:ascii="Arial" w:hAnsi="Arial" w:eastAsia="Arial" w:cs="Arial"/>
      <w:i/>
      <w:iCs/>
      <w:sz w:val="22"/>
      <w:szCs w:val="22"/>
    </w:rPr>
  </w:style>
  <w:style w:type="character" w:styleId="Ttulo9Char" w:customStyle="1">
    <w:name w:val="Título 9 Char"/>
    <w:basedOn w:val="DefaultParagraphFont"/>
    <w:uiPriority w:val="9"/>
    <w:qFormat/>
    <w:rPr>
      <w:rFonts w:ascii="Arial" w:hAnsi="Arial" w:eastAsia="Arial" w:cs="Arial"/>
      <w:i/>
      <w:iCs/>
      <w:sz w:val="21"/>
      <w:szCs w:val="21"/>
    </w:rPr>
  </w:style>
  <w:style w:type="character" w:styleId="TitleChar" w:customStyle="1">
    <w:name w:val="Title Char"/>
    <w:basedOn w:val="DefaultParagraphFont"/>
    <w:uiPriority w:val="10"/>
    <w:qFormat/>
    <w:rPr>
      <w:sz w:val="48"/>
      <w:szCs w:val="48"/>
    </w:rPr>
  </w:style>
  <w:style w:type="character" w:styleId="SubttuloChar" w:customStyle="1">
    <w:name w:val="Subtítulo Char"/>
    <w:basedOn w:val="DefaultParagraphFont"/>
    <w:uiPriority w:val="11"/>
    <w:qFormat/>
    <w:rPr>
      <w:sz w:val="24"/>
      <w:szCs w:val="24"/>
    </w:rPr>
  </w:style>
  <w:style w:type="character" w:styleId="CitaoIntensaChar" w:customStyle="1">
    <w:name w:val="Citação Intensa Char"/>
    <w:uiPriority w:val="30"/>
    <w:qFormat/>
    <w:rPr>
      <w:i/>
    </w:rPr>
  </w:style>
  <w:style w:type="character" w:styleId="HeaderChar" w:customStyle="1">
    <w:name w:val="Header Char"/>
    <w:basedOn w:val="DefaultParagraphFont"/>
    <w:uiPriority w:val="99"/>
    <w:qFormat/>
    <w:rPr/>
  </w:style>
  <w:style w:type="character" w:styleId="FooterChar" w:customStyle="1">
    <w:name w:val="Footer Char"/>
    <w:basedOn w:val="DefaultParagraphFont"/>
    <w:uiPriority w:val="99"/>
    <w:qFormat/>
    <w:rPr/>
  </w:style>
  <w:style w:type="character" w:styleId="CaptionChar" w:customStyle="1">
    <w:name w:val="Caption Char"/>
    <w:uiPriority w:val="99"/>
    <w:qFormat/>
    <w:rPr/>
  </w:style>
  <w:style w:type="character" w:styleId="TextodenotaderodapChar" w:customStyle="1">
    <w:name w:val="Texto de nota de rodapé Char"/>
    <w:uiPriority w:val="99"/>
    <w:qFormat/>
    <w:rPr>
      <w:sz w:val="18"/>
    </w:rPr>
  </w:style>
  <w:style w:type="character" w:styleId="TextodenotadefimChar" w:customStyle="1">
    <w:name w:val="Texto de nota de fim Char"/>
    <w:uiPriority w:val="99"/>
    <w:qFormat/>
    <w:rPr>
      <w:sz w:val="20"/>
    </w:rPr>
  </w:style>
  <w:style w:type="character" w:styleId="TextodebaloChar" w:customStyle="1">
    <w:name w:val="Texto de balão Char"/>
    <w:uiPriority w:val="99"/>
    <w:qFormat/>
    <w:rPr>
      <w:rFonts w:ascii="Tahoma" w:hAnsi="Tahoma" w:cs="Tahoma"/>
      <w:sz w:val="16"/>
      <w:szCs w:val="16"/>
    </w:rPr>
  </w:style>
  <w:style w:type="character" w:styleId="Ttulo2Char" w:customStyle="1">
    <w:name w:val="Título 2 Char"/>
    <w:qFormat/>
    <w:rPr>
      <w:b/>
      <w:color w:val="000000"/>
      <w:sz w:val="24"/>
    </w:rPr>
  </w:style>
  <w:style w:type="character" w:styleId="normalchar1" w:customStyle="1">
    <w:name w:val="normal__char1"/>
    <w:qFormat/>
    <w:rPr>
      <w:rFonts w:ascii="Arial" w:hAnsi="Arial" w:cs="Arial"/>
      <w:sz w:val="24"/>
      <w:szCs w:val="24"/>
      <w:u w:val="none"/>
    </w:rPr>
  </w:style>
  <w:style w:type="character" w:styleId="apple-style-span" w:customStyle="1">
    <w:name w:val="apple-style-span"/>
    <w:basedOn w:val="DefaultParagraphFont"/>
    <w:qFormat/>
    <w:rPr/>
  </w:style>
  <w:style w:type="character" w:styleId="CitaoChar" w:customStyle="1">
    <w:name w:val="Citação Char"/>
    <w:qFormat/>
    <w:rPr>
      <w:rFonts w:ascii="Arial" w:hAnsi="Arial" w:eastAsia="Calibri" w:cs="Tahoma"/>
      <w:i/>
      <w:iCs/>
      <w:color w:val="000000"/>
      <w:szCs w:val="24"/>
      <w:shd w:fill="FFFFCC" w:val="clear"/>
    </w:rPr>
  </w:style>
  <w:style w:type="character" w:styleId="NotaexplicativaChar" w:customStyle="1">
    <w:name w:val="Nota explicativa Char"/>
    <w:basedOn w:val="CitaoChar"/>
    <w:qFormat/>
    <w:rPr>
      <w:rFonts w:ascii="Arial" w:hAnsi="Arial" w:eastAsia="Calibri" w:cs="Tahoma"/>
      <w:i/>
      <w:iCs/>
      <w:color w:val="000000"/>
      <w:szCs w:val="24"/>
      <w:shd w:fill="FFFFCC" w:val="clear"/>
    </w:rPr>
  </w:style>
  <w:style w:type="character" w:styleId="CabealhoChar" w:customStyle="1">
    <w:name w:val="Cabeçalho Char"/>
    <w:qFormat/>
    <w:rPr>
      <w:rFonts w:ascii="Ecofont_Spranq_eco_Sans" w:hAnsi="Ecofont_Spranq_eco_Sans" w:cs="Tahoma"/>
      <w:sz w:val="24"/>
      <w:szCs w:val="24"/>
    </w:rPr>
  </w:style>
  <w:style w:type="character" w:styleId="RodapChar" w:customStyle="1">
    <w:name w:val="Rodapé Char"/>
    <w:uiPriority w:val="99"/>
    <w:qFormat/>
    <w:rPr>
      <w:rFonts w:ascii="Ecofont_Spranq_eco_Sans" w:hAnsi="Ecofont_Spranq_eco_Sans" w:cs="Tahoma"/>
      <w:sz w:val="24"/>
      <w:szCs w:val="24"/>
    </w:rPr>
  </w:style>
  <w:style w:type="character" w:styleId="TextodecomentrioChar" w:customStyle="1">
    <w:name w:val="Texto de comentário Char"/>
    <w:basedOn w:val="DefaultParagraphFont"/>
    <w:uiPriority w:val="99"/>
    <w:qFormat/>
    <w:rPr>
      <w:rFonts w:ascii="Ecofont_Spranq_eco_Sans" w:hAnsi="Ecofont_Spranq_eco_Sans" w:cs="Tahoma"/>
      <w:lang w:eastAsia="pt-BR"/>
    </w:rPr>
  </w:style>
  <w:style w:type="character" w:styleId="AssuntodocomentrioChar" w:customStyle="1">
    <w:name w:val="Assunto do comentário Char"/>
    <w:basedOn w:val="TextodecomentrioChar"/>
    <w:semiHidden/>
    <w:qFormat/>
    <w:rPr>
      <w:rFonts w:ascii="Ecofont_Spranq_eco_Sans" w:hAnsi="Ecofont_Spranq_eco_Sans" w:cs="Tahoma"/>
      <w:b/>
      <w:bCs/>
      <w:lang w:eastAsia="pt-BR"/>
    </w:rPr>
  </w:style>
  <w:style w:type="character" w:styleId="Ttulo4Char" w:customStyle="1">
    <w:name w:val="Título 4 Char"/>
    <w:basedOn w:val="DefaultParagraphFont"/>
    <w:qFormat/>
    <w:rPr>
      <w:rFonts w:ascii="Calibri" w:hAnsi="Calibri" w:eastAsia="Arial" w:cs="Arial" w:asciiTheme="majorHAnsi" w:cstheme="majorBidi" w:eastAsiaTheme="majorEastAsia" w:hAnsiTheme="majorHAnsi"/>
      <w:i/>
      <w:iCs/>
      <w:color w:themeColor="accent1" w:themeShade="bf" w:val="365F91"/>
      <w:sz w:val="24"/>
      <w:szCs w:val="24"/>
      <w:lang w:eastAsia="pt-BR"/>
    </w:rPr>
  </w:style>
  <w:style w:type="character" w:styleId="TtuloChar" w:customStyle="1">
    <w:name w:val="Título Char"/>
    <w:basedOn w:val="DefaultParagraphFont"/>
    <w:qFormat/>
    <w:rPr>
      <w:rFonts w:ascii="Calibri" w:hAnsi="Calibri" w:eastAsia="Arial" w:cs="Arial" w:asciiTheme="majorHAnsi" w:cstheme="majorBidi" w:eastAsiaTheme="majorEastAsia" w:hAnsiTheme="majorHAnsi"/>
      <w:color w:themeColor="text2" w:themeShade="bf" w:val="17365D"/>
      <w:spacing w:val="5"/>
      <w:sz w:val="52"/>
      <w:szCs w:val="52"/>
      <w:lang w:eastAsia="pt-BR"/>
    </w:rPr>
  </w:style>
  <w:style w:type="character" w:styleId="Nivel01Char" w:customStyle="1">
    <w:name w:val="Nivel 01 Char"/>
    <w:basedOn w:val="TtuloChar"/>
    <w:qFormat/>
    <w:rPr>
      <w:rFonts w:ascii="Arial" w:hAnsi="Arial" w:eastAsia="Arial" w:cs="Arial" w:eastAsiaTheme="majorEastAsia"/>
      <w:b/>
      <w:bCs/>
      <w:color w:themeColor="text2" w:themeShade="bf" w:val="17365D"/>
      <w:spacing w:val="5"/>
      <w:sz w:val="52"/>
      <w:szCs w:val="52"/>
      <w:lang w:eastAsia="pt-BR"/>
    </w:rPr>
  </w:style>
  <w:style w:type="character" w:styleId="Ttulo1Char" w:customStyle="1">
    <w:name w:val="Título 1 Char"/>
    <w:basedOn w:val="DefaultParagraphFont"/>
    <w:qFormat/>
    <w:rPr>
      <w:rFonts w:ascii="Calibri" w:hAnsi="Calibri" w:eastAsia="Arial" w:cs="Arial" w:asciiTheme="majorHAnsi" w:cstheme="majorBidi" w:eastAsiaTheme="majorEastAsia" w:hAnsiTheme="majorHAnsi"/>
      <w:b/>
      <w:bCs/>
      <w:color w:themeColor="accent1" w:themeShade="bf" w:val="365F91"/>
      <w:sz w:val="28"/>
      <w:szCs w:val="28"/>
      <w:lang w:eastAsia="pt-BR"/>
    </w:rPr>
  </w:style>
  <w:style w:type="character" w:styleId="Nivel01TituloChar" w:customStyle="1">
    <w:name w:val="Nivel_01_Titulo Char"/>
    <w:basedOn w:val="Nivel01Char"/>
    <w:qFormat/>
    <w:rPr>
      <w:rFonts w:ascii="Arial" w:hAnsi="Arial" w:eastAsia="Arial" w:cs="Arial" w:cstheme="majorBidi" w:eastAsiaTheme="majorEastAsia"/>
      <w:b/>
      <w:bCs/>
      <w:color w:themeColor="text1" w:val="000000"/>
      <w:spacing w:val="5"/>
      <w:sz w:val="52"/>
      <w:szCs w:val="52"/>
      <w:lang w:eastAsia="pt-BR"/>
    </w:rPr>
  </w:style>
  <w:style w:type="character" w:styleId="QuoteChar" w:customStyle="1">
    <w:name w:val="Quote Char"/>
    <w:basedOn w:val="DefaultParagraphFont"/>
    <w:qFormat/>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Pr/>
  </w:style>
  <w:style w:type="character" w:styleId="eop" w:customStyle="1">
    <w:name w:val="eop"/>
    <w:basedOn w:val="DefaultParagraphFont"/>
    <w:qFormat/>
    <w:rPr/>
  </w:style>
  <w:style w:type="character" w:styleId="spellingerror" w:customStyle="1">
    <w:name w:val="spellingerror"/>
    <w:basedOn w:val="DefaultParagraphFont"/>
    <w:qFormat/>
    <w:rPr/>
  </w:style>
  <w:style w:type="character" w:styleId="CorpodetextoChar" w:customStyle="1">
    <w:name w:val="Corpo de texto Char"/>
    <w:basedOn w:val="DefaultParagraphFont"/>
    <w:qFormat/>
    <w:rPr>
      <w:rFonts w:eastAsia="Times New Roman"/>
      <w:sz w:val="24"/>
      <w:szCs w:val="24"/>
      <w:lang w:eastAsia="pt-BR"/>
    </w:rPr>
  </w:style>
  <w:style w:type="character" w:styleId="Nivel1Char" w:customStyle="1">
    <w:name w:val="Nivel1 Char"/>
    <w:basedOn w:val="Ttulo1Char"/>
    <w:qFormat/>
    <w:rPr>
      <w:rFonts w:ascii="Arial" w:hAnsi="Arial" w:eastAsia="Arial" w:cs="Arial" w:eastAsiaTheme="majorEastAsia"/>
      <w:b/>
      <w:bCs w:val="false"/>
      <w:color w:themeColor="accent1" w:themeShade="bf" w:val="365F91"/>
      <w:sz w:val="28"/>
      <w:szCs w:val="28"/>
      <w:lang w:eastAsia="pt-BR"/>
    </w:rPr>
  </w:style>
  <w:style w:type="character" w:styleId="Nivel4Char" w:customStyle="1">
    <w:name w:val="Nivel 4 Char"/>
    <w:basedOn w:val="DefaultParagraphFont"/>
    <w:qFormat/>
    <w:rPr>
      <w:rFonts w:ascii="Arial" w:hAnsi="Arial" w:cs="Arial"/>
      <w:lang w:eastAsia="pt-BR"/>
    </w:rPr>
  </w:style>
  <w:style w:type="character" w:styleId="cp0020corpodespachochar1" w:customStyle="1">
    <w:name w:val="cp_0020corpodespacho__char1"/>
    <w:qFormat/>
    <w:rPr>
      <w:rFonts w:ascii="Times New Roman" w:hAnsi="Times New Roman" w:cs="Times New Roman"/>
      <w:sz w:val="26"/>
      <w:szCs w:val="26"/>
      <w:u w:val="none"/>
    </w:rPr>
  </w:style>
  <w:style w:type="character" w:styleId="em0020ementachar1" w:customStyle="1">
    <w:name w:val="em_0020ementa__char1"/>
    <w:qFormat/>
    <w:rPr>
      <w:rFonts w:ascii="Times New Roman" w:hAnsi="Times New Roman" w:cs="Times New Roman"/>
      <w:sz w:val="28"/>
      <w:szCs w:val="28"/>
      <w:u w:val="none"/>
    </w:rPr>
  </w:style>
  <w:style w:type="character" w:styleId="Manoel" w:customStyle="1">
    <w:name w:val="Manoel"/>
    <w:qFormat/>
    <w:rPr>
      <w:rFonts w:ascii="Arial" w:hAnsi="Arial" w:cs="Arial"/>
      <w:color w:val="7030A0"/>
      <w:sz w:val="20"/>
    </w:rPr>
  </w:style>
  <w:style w:type="character" w:styleId="GradeColorida-nfase1Char" w:customStyle="1">
    <w:name w:val="Grade Colorida - Ênfase 1 Char"/>
    <w:uiPriority w:val="29"/>
    <w:qFormat/>
    <w:rPr>
      <w:rFonts w:ascii="Arial" w:hAnsi="Arial" w:eastAsia="Calibri"/>
      <w:i/>
      <w:iCs/>
      <w:color w:val="000000"/>
      <w:szCs w:val="24"/>
      <w:shd w:fill="FFFFCC" w:val="clear"/>
    </w:rPr>
  </w:style>
  <w:style w:type="character" w:styleId="highlight" w:customStyle="1">
    <w:name w:val="highlight"/>
    <w:basedOn w:val="DefaultParagraphFont"/>
    <w:qFormat/>
    <w:rPr/>
  </w:style>
  <w:style w:type="character" w:styleId="MenoPendente1" w:customStyle="1">
    <w:name w:val="Menção Pendente1"/>
    <w:basedOn w:val="DefaultParagraphFont"/>
    <w:uiPriority w:val="99"/>
    <w:semiHidden/>
    <w:unhideWhenUsed/>
    <w:qFormat/>
    <w:rPr>
      <w:color w:val="605E5C"/>
      <w:shd w:fill="E1DFDD" w:val="clear"/>
    </w:rPr>
  </w:style>
  <w:style w:type="character" w:styleId="MenoPendente2" w:customStyle="1">
    <w:name w:val="Menção Pendente2"/>
    <w:basedOn w:val="DefaultParagraphFont"/>
    <w:uiPriority w:val="99"/>
    <w:semiHidden/>
    <w:unhideWhenUsed/>
    <w:qFormat/>
    <w:rPr>
      <w:color w:val="605E5C"/>
      <w:shd w:fill="E1DFDD" w:val="clear"/>
    </w:rPr>
  </w:style>
  <w:style w:type="character" w:styleId="Nivel2Char" w:customStyle="1">
    <w:name w:val="Nivel 2 Char"/>
    <w:basedOn w:val="DefaultParagraphFont"/>
    <w:qFormat/>
    <w:rPr>
      <w:rFonts w:ascii="Arial" w:hAnsi="Arial" w:cs="Arial"/>
      <w:color w:val="000000"/>
      <w:lang w:eastAsia="pt-BR"/>
    </w:rPr>
  </w:style>
  <w:style w:type="character" w:styleId="Nvel2OpcionalChar" w:customStyle="1">
    <w:name w:val="Nível 2 Opcional Char"/>
    <w:basedOn w:val="DefaultParagraphFont"/>
    <w:qFormat/>
    <w:rPr>
      <w:rFonts w:ascii="Arial" w:hAnsi="Arial" w:eastAsia="Times New Roman" w:cs="Arial"/>
      <w:i/>
      <w:color w:val="FF0000"/>
      <w:lang w:eastAsia="pt-BR"/>
    </w:rPr>
  </w:style>
  <w:style w:type="character" w:styleId="Nvel3OpcionalChar" w:customStyle="1">
    <w:name w:val="Nível 3 Opcional Char"/>
    <w:basedOn w:val="DefaultParagraphFont"/>
    <w:qFormat/>
    <w:rPr>
      <w:rFonts w:ascii="Arial" w:hAnsi="Arial" w:eastAsia="Times New Roman" w:cs="Arial"/>
      <w:i/>
      <w:iCs/>
      <w:color w:val="FF0000"/>
      <w:lang w:eastAsia="pt-BR"/>
    </w:rPr>
  </w:style>
  <w:style w:type="character" w:styleId="PlaceholderText">
    <w:name w:val="Placeholder Text"/>
    <w:basedOn w:val="DefaultParagraphFont"/>
    <w:uiPriority w:val="67"/>
    <w:semiHidden/>
    <w:qFormat/>
    <w:rPr>
      <w:color w:val="808080"/>
    </w:rPr>
  </w:style>
  <w:style w:type="character" w:styleId="PargrafodaListaChar" w:customStyle="1">
    <w:name w:val="Parágrafo da Lista Char"/>
    <w:basedOn w:val="DefaultParagraphFont"/>
    <w:uiPriority w:val="34"/>
    <w:qFormat/>
    <w:rPr>
      <w:rFonts w:ascii="Ecofont_Spranq_eco_Sans" w:hAnsi="Ecofont_Spranq_eco_Sans" w:cs="Tahoma"/>
      <w:sz w:val="24"/>
      <w:szCs w:val="24"/>
      <w:lang w:eastAsia="pt-BR"/>
    </w:rPr>
  </w:style>
  <w:style w:type="character" w:styleId="Ttulo3Char" w:customStyle="1">
    <w:name w:val="Título 3 Char"/>
    <w:basedOn w:val="DefaultParagraphFont"/>
    <w:uiPriority w:val="9"/>
    <w:semiHidden/>
    <w:qFormat/>
    <w:rPr>
      <w:rFonts w:ascii="Calibri" w:hAnsi="Calibri" w:eastAsia="Arial" w:cs="Arial" w:asciiTheme="majorHAnsi" w:cstheme="majorBidi" w:eastAsiaTheme="majorEastAsia" w:hAnsiTheme="majorHAnsi"/>
      <w:color w:themeColor="accent1" w:themeShade="80" w:val="244061"/>
      <w:sz w:val="24"/>
      <w:szCs w:val="24"/>
    </w:rPr>
  </w:style>
  <w:style w:type="character" w:styleId="Ttulo6Char" w:customStyle="1">
    <w:name w:val="Título 6 Char"/>
    <w:basedOn w:val="DefaultParagraphFont"/>
    <w:uiPriority w:val="9"/>
    <w:semiHidden/>
    <w:qFormat/>
    <w:rPr>
      <w:rFonts w:ascii="Calibri" w:hAnsi="Calibri" w:eastAsia="Arial" w:cs="Arial" w:asciiTheme="majorHAnsi" w:cstheme="majorBidi" w:eastAsiaTheme="majorEastAsia" w:hAnsiTheme="majorHAnsi"/>
      <w:color w:themeColor="accent1" w:themeShade="80" w:val="244061"/>
      <w:sz w:val="22"/>
      <w:szCs w:val="22"/>
    </w:rPr>
  </w:style>
  <w:style w:type="character" w:styleId="markedcontent" w:customStyle="1">
    <w:name w:val="markedcontent"/>
    <w:basedOn w:val="DefaultParagraphFont"/>
    <w:qFormat/>
    <w:rPr/>
  </w:style>
  <w:style w:type="character" w:styleId="MenoPendente3" w:customStyle="1">
    <w:name w:val="Menção Pendente3"/>
    <w:basedOn w:val="DefaultParagraphFont"/>
    <w:uiPriority w:val="99"/>
    <w:semiHidden/>
    <w:unhideWhenUsed/>
    <w:qFormat/>
    <w:rPr>
      <w:color w:val="605E5C"/>
      <w:shd w:fill="E1DFDD" w:val="clear"/>
    </w:rPr>
  </w:style>
  <w:style w:type="character" w:styleId="MenoPendente4" w:customStyle="1">
    <w:name w:val="Menção Pendente4"/>
    <w:basedOn w:val="DefaultParagraphFont"/>
    <w:uiPriority w:val="99"/>
    <w:semiHidden/>
    <w:unhideWhenUsed/>
    <w:qFormat/>
    <w:rPr>
      <w:color w:val="605E5C"/>
      <w:shd w:fill="E1DFDD" w:val="clear"/>
    </w:rPr>
  </w:style>
  <w:style w:type="character" w:styleId="ouChar" w:customStyle="1">
    <w:name w:val="ou Char"/>
    <w:basedOn w:val="PargrafodaListaChar"/>
    <w:qFormat/>
    <w:rPr>
      <w:rFonts w:ascii="Arial" w:hAnsi="Arial" w:eastAsia="Cambria" w:cs="Arial" w:eastAsiaTheme="minorHAnsi"/>
      <w:b/>
      <w:bCs/>
      <w:i/>
      <w:iCs/>
      <w:color w:val="FF0000"/>
      <w:sz w:val="24"/>
      <w:szCs w:val="24"/>
      <w:u w:val="single"/>
      <w:lang w:eastAsia="pt-BR"/>
    </w:rPr>
  </w:style>
  <w:style w:type="character" w:styleId="Nvel2-RedChar" w:customStyle="1">
    <w:name w:val="Nível 2 -Red Char"/>
    <w:basedOn w:val="Nivel2Char"/>
    <w:qFormat/>
    <w:rPr>
      <w:rFonts w:ascii="Arial" w:hAnsi="Arial" w:cs="Arial"/>
      <w:i/>
      <w:iCs/>
      <w:color w:val="FF0000"/>
      <w:lang w:eastAsia="pt-BR"/>
    </w:rPr>
  </w:style>
  <w:style w:type="character" w:styleId="Nivel3Char" w:customStyle="1">
    <w:name w:val="Nivel 3 Char"/>
    <w:basedOn w:val="DefaultParagraphFont"/>
    <w:qFormat/>
    <w:rPr>
      <w:rFonts w:ascii="Arial" w:hAnsi="Arial" w:cs="Arial"/>
      <w:color w:val="000000"/>
      <w:lang w:eastAsia="pt-BR"/>
    </w:rPr>
  </w:style>
  <w:style w:type="character" w:styleId="Nvel3-RChar" w:customStyle="1">
    <w:name w:val="Nível 3-R Char"/>
    <w:basedOn w:val="Nivel3Char"/>
    <w:qFormat/>
    <w:rPr>
      <w:rFonts w:ascii="Arial" w:hAnsi="Arial" w:cs="Arial"/>
      <w:i/>
      <w:iCs/>
      <w:color w:val="FF0000"/>
      <w:lang w:eastAsia="pt-BR"/>
    </w:rPr>
  </w:style>
  <w:style w:type="character" w:styleId="Nvel4-RChar" w:customStyle="1">
    <w:name w:val="Nível 4-R Char"/>
    <w:basedOn w:val="Nivel4Char"/>
    <w:qFormat/>
    <w:rPr>
      <w:rFonts w:ascii="Arial" w:hAnsi="Arial" w:cs="Arial"/>
      <w:i/>
      <w:iCs/>
      <w:color w:val="FF0000"/>
      <w:lang w:eastAsia="pt-BR"/>
    </w:rPr>
  </w:style>
  <w:style w:type="character" w:styleId="Nvel1-SemNumChar" w:customStyle="1">
    <w:name w:val="Nível 1-Sem Num Char"/>
    <w:basedOn w:val="Nivel01Char"/>
    <w:qFormat/>
    <w:rPr>
      <w:rFonts w:ascii="Arial" w:hAnsi="Arial" w:eastAsia="Arial" w:cs="Arial" w:eastAsiaTheme="majorEastAsia"/>
      <w:b/>
      <w:bCs/>
      <w:color w:themeColor="text2" w:themeShade="bf" w:val="17365D"/>
      <w:spacing w:val="5"/>
      <w:sz w:val="52"/>
      <w:szCs w:val="52"/>
      <w:lang w:eastAsia="pt-BR"/>
    </w:rPr>
  </w:style>
  <w:style w:type="character" w:styleId="PrembuloChar" w:customStyle="1">
    <w:name w:val="Preâmbulo Char"/>
    <w:basedOn w:val="DefaultParagraphFont"/>
    <w:qFormat/>
    <w:rPr>
      <w:rFonts w:ascii="Arial" w:hAnsi="Arial" w:eastAsia="Arial" w:cs="Arial"/>
      <w:bCs/>
      <w:lang w:eastAsia="pt-BR"/>
    </w:rPr>
  </w:style>
  <w:style w:type="character" w:styleId="MenoPendente5" w:customStyle="1">
    <w:name w:val="Menção Pendente5"/>
    <w:basedOn w:val="DefaultParagraphFont"/>
    <w:uiPriority w:val="99"/>
    <w:semiHidden/>
    <w:unhideWhenUsed/>
    <w:qFormat/>
    <w:rPr>
      <w:color w:val="605E5C"/>
      <w:shd w:fill="E1DFDD" w:val="clear"/>
    </w:rPr>
  </w:style>
  <w:style w:type="character" w:styleId="citao2Char" w:customStyle="1">
    <w:name w:val="citação 2 Char"/>
    <w:basedOn w:val="CitaoChar"/>
    <w:qFormat/>
    <w:rPr>
      <w:rFonts w:ascii="Arial" w:hAnsi="Arial" w:eastAsia="Calibri" w:cs="Tahoma"/>
      <w:i/>
      <w:iCs/>
      <w:color w:val="000000"/>
      <w:szCs w:val="24"/>
      <w:shd w:fill="FFFFCC" w:val="clear"/>
    </w:rPr>
  </w:style>
  <w:style w:type="character" w:styleId="MenoPendente6" w:customStyle="1">
    <w:name w:val="Menção Pendente6"/>
    <w:basedOn w:val="DefaultParagraphFont"/>
    <w:uiPriority w:val="99"/>
    <w:semiHidden/>
    <w:unhideWhenUsed/>
    <w:qFormat/>
    <w:rPr>
      <w:color w:val="605E5C"/>
      <w:shd w:fill="E1DFDD" w:val="clear"/>
    </w:rPr>
  </w:style>
  <w:style w:type="character" w:styleId="Mentionnonrsolue1" w:customStyle="1">
    <w:name w:val="Mention non résolue1"/>
    <w:basedOn w:val="DefaultParagraphFont"/>
    <w:uiPriority w:val="99"/>
    <w:semiHidden/>
    <w:unhideWhenUsed/>
    <w:qFormat/>
    <w:rPr>
      <w:color w:val="605E5C"/>
      <w:shd w:fill="E1DFDD" w:val="clear"/>
    </w:rPr>
  </w:style>
  <w:style w:type="character" w:styleId="Hiperlink" w:customStyle="1">
    <w:name w:val="Hiperlink"/>
    <w:qFormat/>
    <w:rPr>
      <w:color w:val="0000FF"/>
      <w:u w:val="single"/>
    </w:rPr>
  </w:style>
  <w:style w:type="character" w:styleId="Hyperlink">
    <w:name w:val="Hyperlink"/>
    <w:rPr>
      <w:color w:val="000080"/>
      <w:u w:val="single"/>
    </w:rPr>
  </w:style>
  <w:style w:type="character" w:styleId="UnresolvedMention">
    <w:name w:val="Unresolved Mention"/>
    <w:basedOn w:val="DefaultParagraphFont"/>
    <w:uiPriority w:val="99"/>
    <w:semiHidden/>
    <w:unhideWhenUsed/>
    <w:qFormat/>
    <w:rsid w:val="00d06014"/>
    <w:rPr>
      <w:color w:val="605E5C"/>
      <w:shd w:fill="E1DFDD" w:val="clear"/>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unhideWhenUsed/>
    <w:pPr>
      <w:spacing w:beforeAutospacing="1" w:afterAutospacing="1"/>
    </w:pPr>
    <w:rPr>
      <w:rFonts w:ascii="Times New Roman" w:hAnsi="Times New Roman" w:eastAsia="Times New Roman" w:cs="Times New Roman"/>
    </w:rPr>
  </w:style>
  <w:style w:type="paragraph" w:styleId="List">
    <w:name w:val="List"/>
    <w:basedOn w:val="BodyText"/>
    <w:pPr/>
    <w:rPr>
      <w:rFonts w:cs="Lucida Sans"/>
    </w:rPr>
  </w:style>
  <w:style w:type="paragraph" w:styleId="Caption">
    <w:name w:val="caption"/>
    <w:basedOn w:val="Normal"/>
    <w:uiPriority w:val="35"/>
    <w:semiHidden/>
    <w:unhideWhenUsed/>
    <w:qFormat/>
    <w:pPr>
      <w:spacing w:lineRule="auto" w:line="276"/>
    </w:pPr>
    <w:rPr>
      <w:b/>
      <w:bCs/>
      <w:color w:themeColor="accent1" w:val="4F81BD"/>
      <w:sz w:val="18"/>
      <w:szCs w:val="18"/>
    </w:rPr>
  </w:style>
  <w:style w:type="paragraph" w:styleId="ndice" w:customStyle="1">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customStyle="1">
    <w:name w:val="Índice (user)"/>
    <w:basedOn w:val="Normal"/>
    <w:qFormat/>
    <w:pPr>
      <w:suppressLineNumbers/>
    </w:pPr>
    <w:rPr>
      <w:rFonts w:cs="Lucida Sans"/>
    </w:rPr>
  </w:style>
  <w:style w:type="paragraph" w:styleId="Ttulo1" w:customStyle="1">
    <w:name w:val="Título1"/>
    <w:basedOn w:val="Normal"/>
    <w:next w:val="BodyText"/>
    <w:qFormat/>
    <w:pPr>
      <w:keepNext w:val="true"/>
      <w:spacing w:before="240" w:after="120"/>
    </w:pPr>
    <w:rPr>
      <w:rFonts w:ascii="Liberation Sans" w:hAnsi="Liberation Sans" w:eastAsia="Microsoft YaHei" w:cs="Lucida Sans"/>
      <w:sz w:val="28"/>
      <w:szCs w:val="28"/>
    </w:rPr>
  </w:style>
  <w:style w:type="paragraph" w:styleId="Title">
    <w:name w:val="Title"/>
    <w:basedOn w:val="Normal"/>
    <w:next w:val="BodyText"/>
    <w:qFormat/>
    <w:pPr>
      <w:pBdr>
        <w:bottom w:val="single" w:sz="8" w:space="4" w:color="4F81BD" w:themeColor="accent1"/>
      </w:pBdr>
      <w:spacing w:before="0" w:after="300"/>
      <w:contextualSpacing/>
    </w:pPr>
    <w:rPr>
      <w:rFonts w:ascii="Calibri" w:hAnsi="Calibri" w:eastAsia="Arial" w:cs="Arial" w:asciiTheme="majorHAnsi" w:cstheme="majorBidi" w:eastAsiaTheme="majorEastAsia" w:hAnsiTheme="majorHAnsi"/>
      <w:color w:themeColor="text2" w:themeShade="bf" w:val="17365D"/>
      <w:spacing w:val="5"/>
      <w:sz w:val="52"/>
      <w:szCs w:val="52"/>
    </w:rPr>
  </w:style>
  <w:style w:type="paragraph" w:styleId="IndexHeading">
    <w:name w:val="index heading"/>
    <w:basedOn w:val="Title"/>
    <w:pPr/>
    <w:rPr/>
  </w:style>
  <w:style w:type="paragraph" w:styleId="TOCHeading">
    <w:name w:val="TOC Heading"/>
    <w:uiPriority w:val="39"/>
    <w:unhideWhenUsed/>
    <w:qFormat/>
    <w:pPr>
      <w:widowControl/>
      <w:suppressAutoHyphens w:val="true"/>
      <w:bidi w:val="0"/>
      <w:spacing w:before="0" w:after="0"/>
      <w:jc w:val="left"/>
    </w:pPr>
    <w:rPr>
      <w:rFonts w:ascii="Times New Roman" w:hAnsi="Times New Roman" w:eastAsia="SimSun" w:cs="Times New Roman"/>
      <w:color w:val="auto"/>
      <w:kern w:val="0"/>
      <w:sz w:val="20"/>
      <w:szCs w:val="20"/>
      <w:lang w:val="pt-BR" w:eastAsia="ja-JP" w:bidi="ar-SA"/>
    </w:rPr>
  </w:style>
  <w:style w:type="paragraph" w:styleId="TOC2">
    <w:name w:val="toc 2"/>
    <w:basedOn w:val="Normal"/>
    <w:uiPriority w:val="39"/>
    <w:unhideWhenUsed/>
    <w:qFormat/>
    <w:pPr>
      <w:spacing w:before="0" w:after="57"/>
      <w:ind w:left="283"/>
    </w:pPr>
    <w:rPr/>
  </w:style>
  <w:style w:type="paragraph" w:styleId="TOC9">
    <w:name w:val="toc 9"/>
    <w:basedOn w:val="Normal"/>
    <w:uiPriority w:val="39"/>
    <w:unhideWhenUsed/>
    <w:qFormat/>
    <w:pPr>
      <w:spacing w:before="0" w:after="57"/>
      <w:ind w:left="2268"/>
    </w:pPr>
    <w:rPr/>
  </w:style>
  <w:style w:type="paragraph" w:styleId="TOC6">
    <w:name w:val="toc 6"/>
    <w:basedOn w:val="Normal"/>
    <w:uiPriority w:val="39"/>
    <w:unhideWhenUsed/>
    <w:pPr>
      <w:spacing w:before="0" w:after="57"/>
      <w:ind w:left="1417"/>
    </w:pPr>
    <w:rPr/>
  </w:style>
  <w:style w:type="paragraph" w:styleId="CommentText">
    <w:name w:val="annotation text"/>
    <w:basedOn w:val="Normal"/>
    <w:uiPriority w:val="99"/>
    <w:unhideWhenUsed/>
    <w:qFormat/>
    <w:pPr/>
    <w:rPr>
      <w:sz w:val="20"/>
      <w:szCs w:val="20"/>
    </w:rPr>
  </w:style>
  <w:style w:type="paragraph" w:styleId="TOC5">
    <w:name w:val="toc 5"/>
    <w:basedOn w:val="Normal"/>
    <w:uiPriority w:val="39"/>
    <w:unhideWhenUsed/>
    <w:pPr>
      <w:spacing w:before="0" w:after="57"/>
      <w:ind w:left="1134"/>
    </w:pPr>
    <w:rPr/>
  </w:style>
  <w:style w:type="paragraph" w:styleId="TableofFigures">
    <w:name w:val="table of figures"/>
    <w:basedOn w:val="Normal"/>
    <w:uiPriority w:val="99"/>
    <w:unhideWhenUsed/>
    <w:pPr/>
    <w:rPr/>
  </w:style>
  <w:style w:type="paragraph" w:styleId="ListBullet5">
    <w:name w:val="List Bullet 5"/>
    <w:basedOn w:val="Normal"/>
    <w:pPr>
      <w:numPr>
        <w:ilvl w:val="0"/>
        <w:numId w:val="1"/>
      </w:numPr>
      <w:spacing w:before="0" w:after="0"/>
      <w:contextualSpacing/>
    </w:pPr>
    <w:rPr/>
  </w:style>
  <w:style w:type="paragraph" w:styleId="EndnoteText">
    <w:name w:val="endnote text"/>
    <w:basedOn w:val="Normal"/>
    <w:uiPriority w:val="99"/>
    <w:semiHidden/>
    <w:unhideWhenUsed/>
    <w:qFormat/>
    <w:pPr/>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TOC4">
    <w:name w:val="toc 4"/>
    <w:basedOn w:val="Normal"/>
    <w:uiPriority w:val="39"/>
    <w:unhideWhenUsed/>
    <w:pPr>
      <w:spacing w:before="0" w:after="57"/>
      <w:ind w:left="850"/>
    </w:pPr>
    <w:rPr/>
  </w:style>
  <w:style w:type="paragraph" w:styleId="TOC8">
    <w:name w:val="toc 8"/>
    <w:basedOn w:val="Normal"/>
    <w:uiPriority w:val="39"/>
    <w:unhideWhenUsed/>
    <w:qFormat/>
    <w:pPr>
      <w:spacing w:before="0" w:after="57"/>
      <w:ind w:left="1984"/>
    </w:pPr>
    <w:rPr/>
  </w:style>
  <w:style w:type="paragraph" w:styleId="Cabealhoerodapuser" w:customStyle="1">
    <w:name w:val="Cabeçalho e rodapé (user)"/>
    <w:basedOn w:val="Normal"/>
    <w:qFormat/>
    <w:pPr/>
    <w:rPr/>
  </w:style>
  <w:style w:type="paragraph" w:styleId="Cabealhoerodap" w:customStyle="1">
    <w:name w:val="Cabeçalho e rodapé"/>
    <w:basedOn w:val="Normal"/>
    <w:qFormat/>
    <w:pPr/>
    <w:rPr/>
  </w:style>
  <w:style w:type="paragraph" w:styleId="Header">
    <w:name w:val="header"/>
    <w:basedOn w:val="Normal"/>
    <w:qFormat/>
    <w:pPr>
      <w:tabs>
        <w:tab w:val="clear" w:pos="708"/>
        <w:tab w:val="center" w:pos="4252" w:leader="none"/>
        <w:tab w:val="right" w:pos="8504" w:leader="none"/>
      </w:tabs>
    </w:pPr>
    <w:rPr/>
  </w:style>
  <w:style w:type="paragraph" w:styleId="annotationsubject">
    <w:name w:val="annotation subject"/>
    <w:basedOn w:val="CommentText"/>
    <w:semiHidden/>
    <w:unhideWhenUsed/>
    <w:qFormat/>
    <w:pPr/>
    <w:rPr>
      <w:b/>
      <w:bCs/>
    </w:rPr>
  </w:style>
  <w:style w:type="paragraph" w:styleId="Footer">
    <w:name w:val="footer"/>
    <w:basedOn w:val="Normal"/>
    <w:uiPriority w:val="99"/>
    <w:qFormat/>
    <w:pPr>
      <w:tabs>
        <w:tab w:val="clear" w:pos="708"/>
        <w:tab w:val="center" w:pos="4252" w:leader="none"/>
        <w:tab w:val="right" w:pos="8504" w:leader="none"/>
      </w:tabs>
    </w:pPr>
    <w:rPr/>
  </w:style>
  <w:style w:type="paragraph" w:styleId="TOC7">
    <w:name w:val="toc 7"/>
    <w:basedOn w:val="Normal"/>
    <w:uiPriority w:val="39"/>
    <w:unhideWhenUsed/>
    <w:qFormat/>
    <w:pPr>
      <w:spacing w:before="0" w:after="57"/>
      <w:ind w:left="1701"/>
    </w:pPr>
    <w:rPr/>
  </w:style>
  <w:style w:type="paragraph" w:styleId="TOC3">
    <w:name w:val="toc 3"/>
    <w:basedOn w:val="Normal"/>
    <w:uiPriority w:val="39"/>
    <w:unhideWhenUsed/>
    <w:qFormat/>
    <w:pPr>
      <w:spacing w:before="0" w:after="57"/>
      <w:ind w:left="567"/>
    </w:pPr>
    <w:rPr/>
  </w:style>
  <w:style w:type="paragraph" w:styleId="BalloonText">
    <w:name w:val="Balloon Text"/>
    <w:basedOn w:val="Normal"/>
    <w:uiPriority w:val="99"/>
    <w:qFormat/>
    <w:pPr/>
    <w:rPr>
      <w:rFonts w:ascii="Tahoma" w:hAnsi="Tahoma"/>
      <w:sz w:val="16"/>
      <w:szCs w:val="16"/>
    </w:rPr>
  </w:style>
  <w:style w:type="paragraph" w:styleId="Subtitle">
    <w:name w:val="Subtitle"/>
    <w:basedOn w:val="Normal"/>
    <w:uiPriority w:val="11"/>
    <w:qFormat/>
    <w:pPr>
      <w:spacing w:before="200" w:after="200"/>
    </w:pPr>
    <w:rPr/>
  </w:style>
  <w:style w:type="paragraph" w:styleId="FootnoteText">
    <w:name w:val="footnote text"/>
    <w:basedOn w:val="Normal"/>
    <w:uiPriority w:val="99"/>
    <w:semiHidden/>
    <w:unhideWhenUsed/>
    <w:qFormat/>
    <w:pPr>
      <w:spacing w:before="0" w:after="40"/>
    </w:pPr>
    <w:rPr>
      <w:sz w:val="18"/>
    </w:rPr>
  </w:style>
  <w:style w:type="paragraph" w:styleId="TOC1">
    <w:name w:val="toc 1"/>
    <w:basedOn w:val="Normal"/>
    <w:uiPriority w:val="39"/>
    <w:unhideWhenUsed/>
    <w:qFormat/>
    <w:pPr>
      <w:tabs>
        <w:tab w:val="clear" w:pos="708"/>
        <w:tab w:val="left" w:pos="426" w:leader="none"/>
        <w:tab w:val="right" w:pos="9628" w:leader="dot"/>
      </w:tabs>
      <w:spacing w:before="0" w:after="100"/>
    </w:pPr>
    <w:rPr>
      <w:rFonts w:ascii="Arial" w:hAnsi="Arial" w:eastAsia="Times New Roman"/>
      <w:sz w:val="20"/>
    </w:rPr>
  </w:style>
  <w:style w:type="paragraph" w:styleId="NoSpacing">
    <w:name w:val="No Spacing"/>
    <w:uiPriority w:val="1"/>
    <w:qFormat/>
    <w:pPr>
      <w:widowControl/>
      <w:suppressAutoHyphens w:val="true"/>
      <w:bidi w:val="0"/>
      <w:spacing w:before="0" w:after="0"/>
      <w:jc w:val="left"/>
    </w:pPr>
    <w:rPr>
      <w:rFonts w:ascii="Times New Roman" w:hAnsi="Times New Roman" w:eastAsia="Arial" w:cs="Times New Roman" w:eastAsiaTheme="minorEastAsia"/>
      <w:color w:val="auto"/>
      <w:kern w:val="0"/>
      <w:sz w:val="20"/>
      <w:szCs w:val="20"/>
      <w:lang w:val="pt-BR" w:eastAsia="ja-JP" w:bidi="ar-SA"/>
    </w:rPr>
  </w:style>
  <w:style w:type="paragraph" w:styleId="IntenseQuote">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ListParagraph">
    <w:name w:val="List Paragraph"/>
    <w:basedOn w:val="Normal"/>
    <w:uiPriority w:val="1"/>
    <w:qFormat/>
    <w:pPr>
      <w:spacing w:before="0" w:after="0"/>
      <w:ind w:left="720"/>
      <w:contextualSpacing/>
    </w:pPr>
    <w:rPr/>
  </w:style>
  <w:style w:type="paragraph" w:styleId="Nvel2" w:customStyle="1">
    <w:name w:val="Nível 2"/>
    <w:basedOn w:val="Normal"/>
    <w:qFormat/>
    <w:pPr>
      <w:spacing w:before="0" w:after="120"/>
      <w:jc w:val="both"/>
    </w:pPr>
    <w:rPr>
      <w:rFonts w:ascii="Arial" w:hAnsi="Arial" w:cs="Times New Roman"/>
      <w:b/>
      <w:szCs w:val="20"/>
    </w:rPr>
  </w:style>
  <w:style w:type="paragraph" w:styleId="Quote">
    <w:name w:val="Quote"/>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Notaexplicativa" w:customStyle="1">
    <w:name w:val="Nota explicativa"/>
    <w:basedOn w:val="Quote"/>
    <w:qFormat/>
    <w:pPr/>
    <w:rPr>
      <w:szCs w:val="20"/>
    </w:rPr>
  </w:style>
  <w:style w:type="paragraph" w:styleId="Nivel01" w:customStyle="1">
    <w:name w:val="Nivel 01"/>
    <w:basedOn w:val="Heading1"/>
    <w:qFormat/>
    <w:pPr>
      <w:numPr>
        <w:ilvl w:val="0"/>
        <w:numId w:val="2"/>
      </w:numPr>
      <w:tabs>
        <w:tab w:val="clear" w:pos="708"/>
        <w:tab w:val="left" w:pos="567" w:leader="none"/>
      </w:tabs>
      <w:spacing w:lineRule="auto" w:line="312" w:before="288" w:after="288"/>
      <w:ind w:left="360"/>
      <w:jc w:val="both"/>
    </w:pPr>
    <w:rPr>
      <w:rFonts w:ascii="Arial" w:hAnsi="Arial" w:cs="Arial"/>
      <w:sz w:val="20"/>
      <w:szCs w:val="20"/>
    </w:rPr>
  </w:style>
  <w:style w:type="paragraph" w:styleId="Nivel01Titulo" w:customStyle="1">
    <w:name w:val="Nivel_01_Titulo"/>
    <w:basedOn w:val="Nivel01"/>
    <w:qFormat/>
    <w:pPr>
      <w:jc w:val="left"/>
    </w:pPr>
    <w:rPr>
      <w:rFonts w:cs="Arial" w:cstheme="majorBidi"/>
      <w:color w:themeColor="text1" w:val="000000"/>
      <w:spacing w:val="5"/>
      <w:sz w:val="52"/>
      <w:szCs w:val="52"/>
    </w:rPr>
  </w:style>
  <w:style w:type="paragraph" w:styleId="PADRO" w:customStyle="1">
    <w:name w:val="PADRÃO"/>
    <w:qFormat/>
    <w:pPr>
      <w:keepNext w:val="true"/>
      <w:widowControl w:val="false"/>
      <w:shd w:val="clear" w:color="auto" w:fill="FFFFFF"/>
      <w:suppressAutoHyphens w:val="true"/>
      <w:bidi w:val="0"/>
      <w:spacing w:lineRule="auto" w:line="276" w:before="119" w:after="119"/>
      <w:ind w:firstLine="567"/>
      <w:jc w:val="both"/>
    </w:pPr>
    <w:rPr>
      <w:rFonts w:ascii="Ecofont_Spranq_eco_Sans" w:hAnsi="Ecofont_Spranq_eco_Sans" w:eastAsia="WenQuanYi Micro Hei" w:cs="Lohit Hindi"/>
      <w:color w:val="auto"/>
      <w:kern w:val="0"/>
      <w:sz w:val="20"/>
      <w:szCs w:val="24"/>
      <w:lang w:val="pt-BR" w:eastAsia="zh-CN" w:bidi="hi-IN"/>
    </w:rPr>
  </w:style>
  <w:style w:type="paragraph" w:styleId="Citao1" w:customStyle="1">
    <w:name w:val="Citação1"/>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pPr>
      <w:spacing w:beforeAutospacing="1" w:afterAutospacing="1"/>
    </w:pPr>
    <w:rPr>
      <w:rFonts w:ascii="Times New Roman" w:hAnsi="Times New Roman" w:eastAsia="Times New Roman" w:cs="Times New Roman"/>
    </w:rPr>
  </w:style>
  <w:style w:type="paragraph" w:styleId="Nivel1" w:customStyle="1">
    <w:name w:val="Nivel1"/>
    <w:basedOn w:val="Heading1"/>
    <w:qFormat/>
    <w:pPr>
      <w:spacing w:lineRule="auto" w:line="276"/>
      <w:ind w:hanging="357" w:left="357"/>
      <w:jc w:val="both"/>
    </w:pPr>
    <w:rPr>
      <w:rFonts w:ascii="Arial" w:hAnsi="Arial" w:cs="Arial"/>
      <w:bCs w:val="false"/>
    </w:rPr>
  </w:style>
  <w:style w:type="paragraph" w:styleId="PargrafodaLista1" w:customStyle="1">
    <w:name w:val="Parágrafo da Lista1"/>
    <w:basedOn w:val="Normal"/>
    <w:qFormat/>
    <w:pPr>
      <w:ind w:left="720"/>
    </w:pPr>
    <w:rPr>
      <w:rFonts w:eastAsia="Times New Roman" w:cs="Ecofont_Spranq_eco_Sans"/>
    </w:rPr>
  </w:style>
  <w:style w:type="paragraph" w:styleId="Nivel2" w:customStyle="1">
    <w:name w:val="Nivel 2"/>
    <w:basedOn w:val="Normal"/>
    <w:qFormat/>
    <w:pPr>
      <w:numPr>
        <w:ilvl w:val="1"/>
        <w:numId w:val="2"/>
      </w:numPr>
      <w:spacing w:lineRule="auto" w:line="276" w:before="120" w:after="120"/>
      <w:ind w:hanging="0" w:left="0"/>
      <w:jc w:val="both"/>
    </w:pPr>
    <w:rPr>
      <w:rFonts w:ascii="Arial" w:hAnsi="Arial" w:cs="Arial"/>
      <w:color w:val="000000"/>
      <w:sz w:val="20"/>
      <w:szCs w:val="20"/>
    </w:rPr>
  </w:style>
  <w:style w:type="paragraph" w:styleId="Nivel11" w:customStyle="1">
    <w:name w:val="Nivel 1"/>
    <w:basedOn w:val="Nivel2"/>
    <w:qFormat/>
    <w:pPr>
      <w:numPr>
        <w:ilvl w:val="0"/>
        <w:numId w:val="0"/>
      </w:numPr>
      <w:ind w:hanging="360" w:left="360"/>
    </w:pPr>
    <w:rPr>
      <w:b/>
    </w:rPr>
  </w:style>
  <w:style w:type="paragraph" w:styleId="Nivel3" w:customStyle="1">
    <w:name w:val="Nivel 3"/>
    <w:basedOn w:val="Normal"/>
    <w:qFormat/>
    <w:pPr>
      <w:numPr>
        <w:ilvl w:val="2"/>
        <w:numId w:val="2"/>
      </w:numPr>
      <w:spacing w:lineRule="auto" w:line="276" w:before="120" w:after="120"/>
      <w:ind w:hanging="0" w:left="284"/>
      <w:jc w:val="both"/>
    </w:pPr>
    <w:rPr>
      <w:rFonts w:ascii="Arial" w:hAnsi="Arial" w:cs="Arial"/>
      <w:color w:val="000000"/>
      <w:sz w:val="20"/>
      <w:szCs w:val="20"/>
    </w:rPr>
  </w:style>
  <w:style w:type="paragraph" w:styleId="Nivel4" w:customStyle="1">
    <w:name w:val="Nivel 4"/>
    <w:basedOn w:val="Nivel3"/>
    <w:qFormat/>
    <w:pPr>
      <w:ind w:left="567"/>
    </w:pPr>
    <w:rPr>
      <w:color w:val="auto"/>
    </w:rPr>
  </w:style>
  <w:style w:type="paragraph" w:styleId="Nivel5" w:customStyle="1">
    <w:name w:val="Nivel 5"/>
    <w:basedOn w:val="Nivel4"/>
    <w:qFormat/>
    <w:pPr>
      <w:ind w:left="851"/>
    </w:pPr>
    <w:rPr/>
  </w:style>
  <w:style w:type="paragraph" w:styleId="textbody" w:customStyle="1">
    <w:name w:val="textbody"/>
    <w:basedOn w:val="Normal"/>
    <w:qFormat/>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pPr>
      <w:ind w:left="4160"/>
      <w:jc w:val="both"/>
    </w:pPr>
    <w:rPr>
      <w:rFonts w:ascii="Times New Roman" w:hAnsi="Times New Roman" w:eastAsia="Times New Roman" w:cs="Times New Roman"/>
      <w:sz w:val="28"/>
      <w:szCs w:val="28"/>
    </w:rPr>
  </w:style>
  <w:style w:type="paragraph" w:styleId="Reviso1" w:customStyle="1">
    <w:name w:val="Revisão1"/>
    <w:uiPriority w:val="99"/>
    <w:semiHidden/>
    <w:qFormat/>
    <w:pPr>
      <w:widowControl/>
      <w:suppressAutoHyphens w:val="true"/>
      <w:bidi w:val="0"/>
      <w:spacing w:before="0" w:after="0"/>
      <w:jc w:val="left"/>
    </w:pPr>
    <w:rPr>
      <w:rFonts w:ascii="Ecofont_Spranq_eco_Sans" w:hAnsi="Ecofont_Spranq_eco_Sans" w:eastAsia="Times New Roman" w:cs="Tahoma"/>
      <w:color w:val="auto"/>
      <w:kern w:val="0"/>
      <w:sz w:val="24"/>
      <w:szCs w:val="24"/>
      <w:lang w:val="pt-BR" w:eastAsia="pt-BR" w:bidi="ar-SA"/>
    </w:rPr>
  </w:style>
  <w:style w:type="paragraph" w:styleId="texto1" w:customStyle="1">
    <w:name w:val="texto1"/>
    <w:basedOn w:val="Normal"/>
    <w:qFormat/>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uiPriority w:val="29"/>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pPr>
      <w:ind w:firstLine="1134"/>
      <w:jc w:val="both"/>
    </w:pPr>
    <w:rPr>
      <w:rFonts w:ascii="Times New Roman" w:hAnsi="Times New Roman" w:eastAsia="Times New Roman" w:cs="Times New Roman"/>
      <w:szCs w:val="22"/>
      <w:lang w:eastAsia="en-US"/>
    </w:rPr>
  </w:style>
  <w:style w:type="paragraph" w:styleId="Normal1" w:customStyle="1">
    <w:name w:val="Normal_1"/>
    <w:qFormat/>
    <w:pPr>
      <w:widowControl/>
      <w:suppressAutoHyphens w:val="true"/>
      <w:bidi w:val="0"/>
      <w:spacing w:before="0" w:after="0"/>
      <w:jc w:val="left"/>
    </w:pPr>
    <w:rPr>
      <w:rFonts w:ascii="Times New Roman" w:hAnsi="Times New Roman" w:eastAsia="Times New Roman" w:cs="Times New Roman"/>
      <w:color w:val="auto"/>
      <w:kern w:val="0"/>
      <w:sz w:val="24"/>
      <w:szCs w:val="22"/>
      <w:lang w:val="pt-BR" w:eastAsia="en-US" w:bidi="ar-SA"/>
    </w:rPr>
  </w:style>
  <w:style w:type="paragraph" w:styleId="tcu-ac-item9-1linha" w:customStyle="1">
    <w:name w:val="tcu_-__ac_-_item_9_-_1ª_linha"/>
    <w:basedOn w:val="Normal"/>
    <w:qFormat/>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pPr>
      <w:spacing w:beforeAutospacing="1" w:afterAutospacing="1"/>
    </w:pPr>
    <w:rPr>
      <w:rFonts w:ascii="Times New Roman" w:hAnsi="Times New Roman" w:eastAsia="Times New Roman" w:cs="Times New Roman"/>
    </w:rPr>
  </w:style>
  <w:style w:type="paragraph" w:styleId="Nvel2Opcional" w:customStyle="1">
    <w:name w:val="Nível 2 Opcional"/>
    <w:basedOn w:val="Nivel2"/>
    <w:qFormat/>
    <w:pPr>
      <w:numPr>
        <w:ilvl w:val="0"/>
        <w:numId w:val="0"/>
      </w:numPr>
      <w:ind w:hanging="432" w:left="432"/>
    </w:pPr>
    <w:rPr>
      <w:rFonts w:eastAsia="Times New Roman"/>
      <w:i/>
      <w:color w:val="FF0000"/>
    </w:rPr>
  </w:style>
  <w:style w:type="paragraph" w:styleId="Nvel3Opcional" w:customStyle="1">
    <w:name w:val="Nível 3 Opcional"/>
    <w:basedOn w:val="Nivel3"/>
    <w:qFormat/>
    <w:pPr>
      <w:numPr>
        <w:ilvl w:val="0"/>
        <w:numId w:val="0"/>
      </w:numPr>
      <w:ind w:hanging="504" w:left="1072"/>
    </w:pPr>
    <w:rPr>
      <w:rFonts w:eastAsia="Times New Roman"/>
      <w:i/>
      <w:iCs/>
      <w:color w:val="FF0000"/>
    </w:rPr>
  </w:style>
  <w:style w:type="paragraph" w:styleId="SombreamentoMdio1-nfase31" w:customStyle="1">
    <w:name w:val="Sombreamento Médio 1 - Ênfase 31"/>
    <w:basedOn w:val="Normal"/>
    <w:qFormat/>
    <w:pPr>
      <w:pBdr>
        <w:top w:val="single" w:sz="4" w:space="1" w:color="000080"/>
        <w:left w:val="single" w:sz="4" w:space="4" w:color="000080"/>
        <w:bottom w:val="single" w:sz="4" w:space="1" w:color="000080"/>
        <w:right w:val="single" w:sz="4" w:space="4" w:color="000080"/>
      </w:pBdr>
      <w:shd w:val="clear" w:color="auto" w:fill="FFFFCC"/>
      <w:spacing w:before="120" w:after="0"/>
      <w:jc w:val="both"/>
    </w:pPr>
    <w:rPr>
      <w:rFonts w:eastAsia="Calibri"/>
      <w:i/>
      <w:iCs/>
      <w:color w:val="000000"/>
      <w:sz w:val="20"/>
      <w:lang w:eastAsia="zh-CN"/>
    </w:rPr>
  </w:style>
  <w:style w:type="paragraph" w:styleId="corpo" w:customStyle="1">
    <w:name w:val="corpo"/>
    <w:basedOn w:val="Normal"/>
    <w:qFormat/>
    <w:pPr>
      <w:spacing w:beforeAutospacing="1" w:afterAutospacing="1"/>
    </w:pPr>
    <w:rPr>
      <w:rFonts w:ascii="Times New Roman" w:hAnsi="Times New Roman" w:eastAsia="Times New Roman" w:cs="Times New Roman"/>
    </w:rPr>
  </w:style>
  <w:style w:type="paragraph" w:styleId="itemnivel2" w:customStyle="1">
    <w:name w:val="item_nivel2"/>
    <w:basedOn w:val="Normal"/>
    <w:qFormat/>
    <w:pPr>
      <w:spacing w:beforeAutospacing="1" w:afterAutospacing="1"/>
    </w:pPr>
    <w:rPr>
      <w:rFonts w:ascii="Times New Roman" w:hAnsi="Times New Roman" w:eastAsia="Times New Roman" w:cs="Times New Roman"/>
    </w:rPr>
  </w:style>
  <w:style w:type="paragraph" w:styleId="itemnivel1" w:customStyle="1">
    <w:name w:val="item_nivel1"/>
    <w:basedOn w:val="Normal"/>
    <w:qFormat/>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pPr>
      <w:spacing w:beforeAutospacing="1" w:afterAutospacing="1"/>
    </w:pPr>
    <w:rPr>
      <w:rFonts w:ascii="Times New Roman" w:hAnsi="Times New Roman" w:eastAsia="Times New Roman" w:cs="Times New Roman"/>
    </w:rPr>
  </w:style>
  <w:style w:type="paragraph" w:styleId="Standard" w:customStyle="1">
    <w:name w:val="Standard"/>
    <w:qFormat/>
    <w:pPr>
      <w:widowControl/>
      <w:suppressAutoHyphens w:val="true"/>
      <w:bidi w:val="0"/>
      <w:spacing w:before="0" w:after="0"/>
      <w:jc w:val="left"/>
    </w:pPr>
    <w:rPr>
      <w:rFonts w:ascii="Liberation Serif" w:hAnsi="Liberation Serif" w:eastAsia="NSimSun" w:cs="Lucida Sans"/>
      <w:color w:val="auto"/>
      <w:kern w:val="0"/>
      <w:sz w:val="24"/>
      <w:szCs w:val="24"/>
      <w:lang w:val="pt-BR" w:eastAsia="zh-CN" w:bidi="hi-IN"/>
    </w:rPr>
  </w:style>
  <w:style w:type="paragraph" w:styleId="Textbody1" w:customStyle="1">
    <w:name w:val="Text body"/>
    <w:basedOn w:val="Standard"/>
    <w:qFormat/>
    <w:pPr>
      <w:spacing w:lineRule="auto" w:line="276" w:before="0" w:after="140"/>
    </w:pPr>
    <w:rPr/>
  </w:style>
  <w:style w:type="paragraph" w:styleId="ou" w:customStyle="1">
    <w:name w:val="ou"/>
    <w:basedOn w:val="ListParagraph"/>
    <w:qFormat/>
    <w:pPr>
      <w:spacing w:lineRule="auto" w:line="259" w:before="60" w:after="60"/>
      <w:ind w:left="0"/>
      <w:contextualSpacing w:val="false"/>
      <w:jc w:val="center"/>
    </w:pPr>
    <w:rPr>
      <w:rFonts w:ascii="Arial" w:hAnsi="Arial" w:eastAsia="Cambria" w:cs="Arial" w:eastAsiaTheme="minorHAnsi"/>
      <w:b/>
      <w:bCs/>
      <w:i/>
      <w:iCs/>
      <w:color w:val="FF0000"/>
      <w:u w:val="single"/>
    </w:rPr>
  </w:style>
  <w:style w:type="paragraph" w:styleId="dou-paragraph" w:customStyle="1">
    <w:name w:val="dou-paragraph"/>
    <w:basedOn w:val="Normal"/>
    <w:qFormat/>
    <w:pPr>
      <w:spacing w:beforeAutospacing="1" w:afterAutospacing="1"/>
    </w:pPr>
    <w:rPr>
      <w:rFonts w:ascii="Times New Roman" w:hAnsi="Times New Roman" w:eastAsia="Times New Roman" w:cs="Times New Roman"/>
    </w:rPr>
  </w:style>
  <w:style w:type="paragraph" w:styleId="Nvel2-Red" w:customStyle="1">
    <w:name w:val="Nível 2 -Red"/>
    <w:basedOn w:val="Nivel2"/>
    <w:qFormat/>
    <w:pPr/>
    <w:rPr>
      <w:i/>
      <w:iCs/>
      <w:color w:val="FF0000"/>
    </w:rPr>
  </w:style>
  <w:style w:type="paragraph" w:styleId="Nvel3-R" w:customStyle="1">
    <w:name w:val="Nível 3-R"/>
    <w:basedOn w:val="Nivel3"/>
    <w:qFormat/>
    <w:pPr/>
    <w:rPr>
      <w:i/>
      <w:iCs/>
      <w:color w:val="FF0000"/>
    </w:rPr>
  </w:style>
  <w:style w:type="paragraph" w:styleId="Nvel4-R" w:customStyle="1">
    <w:name w:val="Nível 4-R"/>
    <w:basedOn w:val="Nivel4"/>
    <w:qFormat/>
    <w:pPr/>
    <w:rPr>
      <w:i/>
      <w:iCs/>
      <w:color w:val="FF0000"/>
    </w:rPr>
  </w:style>
  <w:style w:type="paragraph" w:styleId="Nvel1-SemNum" w:customStyle="1">
    <w:name w:val="Nível 1-Sem Num"/>
    <w:basedOn w:val="Nivel01"/>
    <w:qFormat/>
    <w:pPr>
      <w:numPr>
        <w:ilvl w:val="0"/>
        <w:numId w:val="0"/>
      </w:numPr>
      <w:ind w:left="360"/>
      <w:outlineLvl w:val="1"/>
    </w:pPr>
    <w:rPr/>
  </w:style>
  <w:style w:type="paragraph" w:styleId="citao2" w:customStyle="1">
    <w:name w:val="citação 2"/>
    <w:basedOn w:val="Quote"/>
    <w:qFormat/>
    <w:pPr/>
    <w:rPr>
      <w:szCs w:val="20"/>
    </w:rPr>
  </w:style>
  <w:style w:type="paragraph" w:styleId="Prembulo" w:customStyle="1">
    <w:name w:val="Preâmbulo"/>
    <w:basedOn w:val="Normal"/>
    <w:qFormat/>
    <w:pPr>
      <w:spacing w:lineRule="auto" w:line="360" w:before="480" w:after="120"/>
      <w:ind w:left="4253" w:right="-17"/>
      <w:jc w:val="both"/>
    </w:pPr>
    <w:rPr>
      <w:rFonts w:ascii="Arial" w:hAnsi="Arial" w:eastAsia="Arial" w:cs="Arial"/>
      <w:bCs/>
      <w:sz w:val="20"/>
      <w:szCs w:val="20"/>
    </w:rPr>
  </w:style>
  <w:style w:type="paragraph" w:styleId="CabealhodoSumrio1" w:customStyle="1">
    <w:name w:val="Cabeçalho do Sumário1"/>
    <w:basedOn w:val="Heading1"/>
    <w:uiPriority w:val="39"/>
    <w:unhideWhenUsed/>
    <w:qFormat/>
    <w:pPr>
      <w:spacing w:lineRule="auto" w:line="259" w:before="240" w:after="0"/>
      <w:outlineLvl w:val="9"/>
    </w:pPr>
    <w:rPr>
      <w:b w:val="false"/>
      <w:bCs w:val="false"/>
      <w:sz w:val="32"/>
      <w:szCs w:val="32"/>
    </w:rPr>
  </w:style>
  <w:style w:type="paragraph" w:styleId="Nvel1-SemNumPreto" w:customStyle="1">
    <w:name w:val="Nível 1-Sem Num Preto"/>
    <w:qFormat/>
    <w:pPr>
      <w:keepNext w:val="true"/>
      <w:keepLines/>
      <w:widowControl/>
      <w:tabs>
        <w:tab w:val="clear" w:pos="708"/>
        <w:tab w:val="left" w:pos="567" w:leader="none"/>
      </w:tabs>
      <w:suppressAutoHyphens w:val="true"/>
      <w:bidi w:val="0"/>
      <w:spacing w:lineRule="auto" w:line="276" w:before="240" w:after="120"/>
      <w:jc w:val="both"/>
      <w:outlineLvl w:val="1"/>
    </w:pPr>
    <w:rPr>
      <w:rFonts w:ascii="Arial" w:hAnsi="Arial" w:eastAsia="Arial" w:cs="Arial"/>
      <w:b/>
      <w:bCs/>
      <w:color w:val="auto"/>
      <w:kern w:val="0"/>
      <w:sz w:val="20"/>
      <w:szCs w:val="20"/>
      <w:lang w:val="pt-BR" w:eastAsia="zh-CN" w:bidi="hi-IN"/>
    </w:rPr>
  </w:style>
  <w:style w:type="paragraph" w:styleId="Nvel3" w:customStyle="1">
    <w:name w:val="Nível 3"/>
    <w:qFormat/>
    <w:pPr>
      <w:widowControl/>
      <w:numPr>
        <w:ilvl w:val="2"/>
        <w:numId w:val="3"/>
      </w:numPr>
      <w:suppressAutoHyphens w:val="true"/>
      <w:bidi w:val="0"/>
      <w:spacing w:lineRule="auto" w:line="276" w:before="120" w:after="120"/>
      <w:ind w:hanging="0" w:left="284"/>
      <w:jc w:val="both"/>
    </w:pPr>
    <w:rPr>
      <w:rFonts w:ascii="Arial" w:hAnsi="Arial" w:eastAsia="Times New Roman" w:cs="Arial"/>
      <w:color w:val="auto"/>
      <w:kern w:val="0"/>
      <w:sz w:val="20"/>
      <w:szCs w:val="20"/>
      <w:lang w:val="pt-BR" w:eastAsia="pt-BR" w:bidi="ar-SA"/>
    </w:rPr>
  </w:style>
  <w:style w:type="paragraph" w:styleId="Nvel4" w:customStyle="1">
    <w:name w:val="Nível 4"/>
    <w:basedOn w:val="Nvel3"/>
    <w:qFormat/>
    <w:pPr>
      <w:ind w:left="567"/>
    </w:pPr>
    <w:rPr/>
  </w:style>
  <w:style w:type="paragraph" w:styleId="N11" w:customStyle="1">
    <w:name w:val="N 1.1"/>
    <w:qFormat/>
    <w:pPr>
      <w:widowControl/>
      <w:suppressAutoHyphens w:val="true"/>
      <w:bidi w:val="0"/>
      <w:spacing w:before="240" w:after="240"/>
      <w:jc w:val="both"/>
    </w:pPr>
    <w:rPr>
      <w:rFonts w:ascii="Arial" w:hAnsi="Arial" w:eastAsia="Calibri" w:cs="Times New Roman"/>
      <w:color w:val="auto"/>
      <w:kern w:val="0"/>
      <w:sz w:val="24"/>
      <w:szCs w:val="22"/>
      <w:lang w:val="pt-BR" w:eastAsia="en-US" w:bidi="ar-SA"/>
    </w:rPr>
  </w:style>
  <w:style w:type="paragraph" w:styleId="Contedodatabelauser" w:customStyle="1">
    <w:name w:val="Conteúdo da tabela (user)"/>
    <w:basedOn w:val="Normal"/>
    <w:qFormat/>
    <w:pPr>
      <w:widowControl w:val="false"/>
      <w:suppressLineNumbers/>
    </w:pPr>
    <w:rPr/>
  </w:style>
  <w:style w:type="paragraph" w:styleId="Ttulodetabelauser" w:customStyle="1">
    <w:name w:val="Título de tabela (user)"/>
    <w:basedOn w:val="Contedodatabelauser"/>
    <w:qFormat/>
    <w:pPr>
      <w:jc w:val="center"/>
    </w:pPr>
    <w:rPr>
      <w:b/>
      <w:bCs/>
    </w:rPr>
  </w:style>
  <w:style w:type="paragraph" w:styleId="Contedodatabela" w:customStyle="1">
    <w:name w:val="Conteúdo da tabela"/>
    <w:basedOn w:val="Normal"/>
    <w:qFormat/>
    <w:pPr>
      <w:widowControl w:val="false"/>
      <w:suppressLineNumbers/>
    </w:pPr>
    <w:rPr/>
  </w:style>
  <w:style w:type="paragraph" w:styleId="Ttulodetabela" w:customStyle="1">
    <w:name w:val="Título de tabela"/>
    <w:basedOn w:val="Contedodatabela"/>
    <w:qFormat/>
    <w:pPr>
      <w:jc w:val="center"/>
    </w:pPr>
    <w:rPr>
      <w:b/>
      <w:bCs/>
    </w:rPr>
  </w:style>
  <w:style w:type="paragraph" w:styleId="Contedodoquadrouser" w:customStyle="1">
    <w:name w:val="Conteúdo do quadro (user)"/>
    <w:basedOn w:val="Normal"/>
    <w:qFormat/>
    <w:pPr/>
    <w:rPr/>
  </w:style>
  <w:style w:type="paragraph" w:styleId="TableParagraph" w:customStyle="1">
    <w:name w:val="Table Paragraph"/>
    <w:basedOn w:val="Normal"/>
    <w:qFormat/>
    <w:pPr>
      <w:spacing w:lineRule="exact" w:line="250"/>
      <w:ind w:left="107"/>
      <w:jc w:val="center"/>
    </w:pPr>
    <w:rPr>
      <w:rFonts w:ascii="Arial MT" w:hAnsi="Arial MT" w:eastAsia="Arial MT" w:cs="Arial MT"/>
      <w:lang w:val="pt-PT" w:eastAsia="en-US"/>
    </w:rPr>
  </w:style>
  <w:style w:type="paragraph" w:styleId="Contedodoquadro" w:customStyle="1">
    <w:name w:val="Conteúdo do quadro"/>
    <w:basedOn w:val="Normal"/>
    <w:qFormat/>
    <w:pPr/>
    <w:rPr/>
  </w:style>
  <w:style w:type="paragraph" w:styleId="pdq2pgselectionanchorcontainer" w:customStyle="1">
    <w:name w:val="pdq2pg_selectionanchorcontainer"/>
    <w:basedOn w:val="Normal"/>
    <w:qFormat/>
    <w:rsid w:val="00033f63"/>
    <w:pPr>
      <w:suppressAutoHyphens w:val="false"/>
      <w:spacing w:beforeAutospacing="1" w:afterAutospacing="1"/>
    </w:pPr>
    <w:rPr>
      <w:rFonts w:ascii="Times New Roman" w:hAnsi="Times New Roman" w:eastAsia="Times New Roman" w:cs="Times New Roman"/>
    </w:rPr>
  </w:style>
  <w:style w:type="numbering" w:styleId="Semlistauser" w:default="1">
    <w:name w:val="Sem lista (user)"/>
    <w:uiPriority w:val="99"/>
    <w:semiHidden/>
    <w:unhideWhenUsed/>
    <w:qFormat/>
  </w:style>
  <w:style w:type="numbering" w:styleId="Semlista1" w:customStyle="1">
    <w:name w:val="Sem lista1"/>
    <w:uiPriority w:val="99"/>
    <w:semiHidden/>
    <w:unhideWhenUsed/>
    <w:qFormat/>
  </w:style>
  <w:style w:type="numbering" w:styleId="Estilo1" w:customStyle="1">
    <w:name w:val="Estilo1"/>
    <w:uiPriority w:val="99"/>
    <w:qFormat/>
    <w:rsid w:val="006d076f"/>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2315d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Grid">
    <w:name w:val="TableGrid"/>
    <w:rsid w:val="00470b03"/>
    <w:rPr>
      <w:rFonts w:asciiTheme="minorHAnsi" w:hAnsiTheme="minorHAnsi" w:eastAsiaTheme="minorEastAsia" w:cstheme="minorBidi"/>
      <w:sz w:val="24"/>
      <w:szCs w:val="24"/>
      <w:lang w:eastAsia="pt-BR"/>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regaobanrisul.com.br/" TargetMode="External"/><Relationship Id="rId3" Type="http://schemas.openxmlformats.org/officeDocument/2006/relationships/hyperlink" Target="http://www.portaldecompraspublicas.com.br/" TargetMode="External"/><Relationship Id="rId4" Type="http://schemas.openxmlformats.org/officeDocument/2006/relationships/hyperlink" Target="http://www.planalto.gov.br/ccivil_03/_ato2019-2022/2021/lei/L14133.htm" TargetMode="External"/><Relationship Id="rId5" Type="http://schemas.openxmlformats.org/officeDocument/2006/relationships/hyperlink" Target="http://www.planalto.gov.br/ccivil_03/_ato2019-2022/2021/lei/L14133.htm" TargetMode="External"/><Relationship Id="rId6" Type="http://schemas.openxmlformats.org/officeDocument/2006/relationships/hyperlink" Target="https://www.planalto.gov.br/ccivil_03/constituicao/constituicaocompilado.htm" TargetMode="External"/><Relationship Id="rId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s://www.planalto.gov.br/ccivil_03/leis/lcp/lcp123.htm" TargetMode="External"/><Relationship Id="rId10"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3"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_ato2007-2010/2009/lei/l12187.htm" TargetMode="External"/><Relationship Id="rId16" Type="http://schemas.openxmlformats.org/officeDocument/2006/relationships/hyperlink" Target="http://www.planalto.gov.br/ccivil_03/_ato2019-2022/2021/lei/L14133.htm" TargetMode="External"/><Relationship Id="rId17" Type="http://schemas.openxmlformats.org/officeDocument/2006/relationships/hyperlink" Target="https://www.portaltransparencia.gov.br/sancoes/ceis" TargetMode="External"/><Relationship Id="rId18" Type="http://schemas.openxmlformats.org/officeDocument/2006/relationships/hyperlink" Target="https://www.portaltransparencia.gov.br/sancoes/cnep" TargetMode="External"/><Relationship Id="rId19" Type="http://schemas.openxmlformats.org/officeDocument/2006/relationships/hyperlink" Target="https://www.planalto.gov.br/ccivil_03/leis/l8429.htm" TargetMode="External"/><Relationship Id="rId20"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1-2014/2013/lei/l12846.htm" TargetMode="External"/><Relationship Id="rId25"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28" Type="http://schemas.openxmlformats.org/officeDocument/2006/relationships/hyperlink" Target="mailto:licita@santabarbaradosul.rs.gov.br" TargetMode="External"/><Relationship Id="rId29" Type="http://schemas.openxmlformats.org/officeDocument/2006/relationships/hyperlink" Target="https://pregaobanrisul.com.br/" TargetMode="External"/><Relationship Id="rId30" Type="http://schemas.openxmlformats.org/officeDocument/2006/relationships/hyperlink" Target="http://www.santabarbaradosul.rs.gov.br/" TargetMode="External"/><Relationship Id="rId31" Type="http://schemas.openxmlformats.org/officeDocument/2006/relationships/hyperlink" Target="https://www.gov.br/empresas-e-negocios/pt-br/empreendedor" TargetMode="External"/><Relationship Id="rId32"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8078compilado.htm" TargetMode="External"/><Relationship Id="rId43"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5-2018/2018/lei/l13709.htm" TargetMode="External"/><Relationship Id="rId48" Type="http://schemas.openxmlformats.org/officeDocument/2006/relationships/hyperlink" Target="https://www.planalto.gov.br/ccivil_03/_ato2015-2018/2018/lei/l13709.htm" TargetMode="External"/><Relationship Id="rId49" Type="http://schemas.openxmlformats.org/officeDocument/2006/relationships/hyperlink" Target="https://www.planalto.gov.br/ccivil_03/_ato2015-2018/2018/lei/l13709.htm" TargetMode="External"/><Relationship Id="rId50" Type="http://schemas.openxmlformats.org/officeDocument/2006/relationships/hyperlink" Target="https://www.planalto.gov.br/ccivil_03/_ato2015-2018/2018/lei/l13709.htm" TargetMode="External"/><Relationship Id="rId51" Type="http://schemas.openxmlformats.org/officeDocument/2006/relationships/hyperlink" Target="https://www.planalto.gov.br/ccivil_03/_ato2015-2018/2018/lei/l13709.htm" TargetMode="External"/><Relationship Id="rId52" Type="http://schemas.openxmlformats.org/officeDocument/2006/relationships/hyperlink" Target="https://www.planalto.gov.br/ccivil_03/_ato2015-2018/2018/lei/l13709.htm" TargetMode="External"/><Relationship Id="rId53"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3/lei/l12846.htm" TargetMode="External"/><Relationship Id="rId5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69" Type="http://schemas.openxmlformats.org/officeDocument/2006/relationships/hyperlink" Target="https://ceiscadastro.cgu.gov.br/index.aspx?ReturnUrl=%2F" TargetMode="External"/><Relationship Id="rId70"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72" Type="http://schemas.openxmlformats.org/officeDocument/2006/relationships/hyperlink" Target="https://www.gov.br/compras/pt-br/acesso-a-informacao/legislacao/instrucoes-normativas/instrucao-normativa-seges-me-no-26-de-13-de-abril-de-2022" TargetMode="External"/><Relationship Id="rId73"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078compilado.htm" TargetMode="External"/><Relationship Id="rId8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86" Type="http://schemas.openxmlformats.org/officeDocument/2006/relationships/hyperlink" Target="http://www.cidadecompras.com.br/" TargetMode="External"/><Relationship Id="rId87" Type="http://schemas.openxmlformats.org/officeDocument/2006/relationships/hyperlink" Target="http://www.pregaobanrisul.com.br/" TargetMode="External"/><Relationship Id="rId88" Type="http://schemas.openxmlformats.org/officeDocument/2006/relationships/hyperlink" Target="http://www.santabarbaradosul.rs.gov.br/" TargetMode="External"/><Relationship Id="rId89" Type="http://schemas.openxmlformats.org/officeDocument/2006/relationships/header" Target="header1.xml"/><Relationship Id="rId90" Type="http://schemas.openxmlformats.org/officeDocument/2006/relationships/header" Target="header2.xml"/><Relationship Id="rId91" Type="http://schemas.openxmlformats.org/officeDocument/2006/relationships/header" Target="header3.xml"/><Relationship Id="rId92" Type="http://schemas.openxmlformats.org/officeDocument/2006/relationships/footer" Target="footer1.xml"/><Relationship Id="rId93" Type="http://schemas.openxmlformats.org/officeDocument/2006/relationships/footer" Target="footer2.xml"/><Relationship Id="rId94" Type="http://schemas.openxmlformats.org/officeDocument/2006/relationships/footer" Target="footer3.xml"/><Relationship Id="rId95" Type="http://schemas.openxmlformats.org/officeDocument/2006/relationships/numbering" Target="numbering.xml"/><Relationship Id="rId96" Type="http://schemas.openxmlformats.org/officeDocument/2006/relationships/fontTable" Target="fontTable.xml"/><Relationship Id="rId97" Type="http://schemas.openxmlformats.org/officeDocument/2006/relationships/settings" Target="settings.xml"/><Relationship Id="rId98" Type="http://schemas.openxmlformats.org/officeDocument/2006/relationships/theme" Target="theme/theme1.xml"/><Relationship Id="rId99" Type="http://schemas.openxmlformats.org/officeDocument/2006/relationships/customXml" Target="../customXml/item1.xml"/><Relationship Id="rId100" Type="http://schemas.openxmlformats.org/officeDocument/2006/relationships/customXml" Target="../customXml/item2.xml"/><Relationship Id="rId101" Type="http://schemas.openxmlformats.org/officeDocument/2006/relationships/customXml" Target="../customXml/item3.xml"/><Relationship Id="rId102"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3.png"/>
</Relationships>
</file>

<file path=word/_rels/header2.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svg"/>
</Relationships>
</file>

<file path=word/_rels/header3.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svg"/><Relationship Id="rId3" Type="http://schemas.openxmlformats.org/officeDocument/2006/relationships/image" Target="media/image3.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Arial" pitchFamily="0" charset="1"/>
        <a:cs typeface="Arial" pitchFamily="0" charset="1"/>
      </a:majorFont>
      <a:minorFont>
        <a:latin typeface="Cambria" pitchFamily="0" charset="1"/>
        <a:ea typeface="Arial" pitchFamily="0" charset="1"/>
        <a:cs typeface="Arial" pitchFamily="0" charset="1"/>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0" t="0" r="0" b="0"/>
          </a:path>
          <a:tileRect l="0" t="0" r="0" b="0"/>
        </a:gradFill>
        <a:gradFill>
          <a:gsLst>
            <a:gs pos="0">
              <a:schemeClr val="phClr">
                <a:tint val="80000"/>
              </a:schemeClr>
            </a:gs>
            <a:gs pos="100000">
              <a:schemeClr val="phClr">
                <a:shade val="30000"/>
              </a:schemeClr>
            </a:gs>
          </a:gsLst>
          <a:path path="circle">
            <a:fillToRect l="0" t="0" r="0" b="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3717</TotalTime>
  <Application>LibreOffice/26.2.4.2$Windows_X86_64 LibreOffice_project/0229ac93fcf0d7cbc6376066c6f35021cef002dc</Application>
  <AppVersion>15.0000</AppVersion>
  <Pages>35</Pages>
  <Words>20774</Words>
  <Characters>122550</Characters>
  <CharactersWithSpaces>142266</CharactersWithSpaces>
  <Paragraphs>967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2024-02-15T20:07:00Z</dcterms:created>
  <dc:creator>karin</dc:creator>
  <dc:description/>
  <dc:language>pt-BR</dc:language>
  <cp:lastModifiedBy/>
  <cp:lastPrinted>2026-07-13T10:34:24Z</cp:lastPrinted>
  <dcterms:modified xsi:type="dcterms:W3CDTF">2026-07-13T10:34:33Z</dcterms:modified>
  <cp:revision>99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